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106" w:type="dxa"/>
        <w:tblLayout w:type="fixed"/>
        <w:tblLook w:val="01E0" w:firstRow="1" w:lastRow="1" w:firstColumn="1" w:lastColumn="1" w:noHBand="0" w:noVBand="0"/>
      </w:tblPr>
      <w:tblGrid>
        <w:gridCol w:w="3900"/>
        <w:gridCol w:w="1984"/>
        <w:gridCol w:w="4324"/>
      </w:tblGrid>
      <w:tr w:rsidR="00974602" w:rsidTr="002707B8">
        <w:trPr>
          <w:trHeight w:val="976"/>
        </w:trPr>
        <w:tc>
          <w:tcPr>
            <w:tcW w:w="3900" w:type="dxa"/>
          </w:tcPr>
          <w:p w:rsidR="00974602" w:rsidRPr="0068496C" w:rsidRDefault="00974602" w:rsidP="002707B8">
            <w:pPr>
              <w:tabs>
                <w:tab w:val="left" w:pos="3270"/>
              </w:tabs>
              <w:rPr>
                <w:b/>
                <w:bCs/>
                <w:sz w:val="28"/>
                <w:szCs w:val="28"/>
                <w:lang w:val="ru-RU"/>
              </w:rPr>
            </w:pPr>
          </w:p>
        </w:tc>
        <w:tc>
          <w:tcPr>
            <w:tcW w:w="1984" w:type="dxa"/>
          </w:tcPr>
          <w:p w:rsidR="00974602" w:rsidRDefault="00974602" w:rsidP="002707B8">
            <w:pPr>
              <w:widowControl w:val="0"/>
              <w:tabs>
                <w:tab w:val="left" w:pos="8447"/>
              </w:tabs>
              <w:autoSpaceDE w:val="0"/>
              <w:autoSpaceDN w:val="0"/>
              <w:adjustRightInd w:val="0"/>
              <w:jc w:val="center"/>
              <w:rPr>
                <w:sz w:val="28"/>
                <w:szCs w:val="28"/>
              </w:rPr>
            </w:pPr>
            <w:r>
              <w:rPr>
                <w:noProof/>
                <w:lang w:val="ru-RU"/>
              </w:rPr>
              <w:drawing>
                <wp:inline distT="0" distB="0" distL="0" distR="0" wp14:anchorId="6BD6D474" wp14:editId="2BA14B25">
                  <wp:extent cx="489697" cy="739987"/>
                  <wp:effectExtent l="0" t="0" r="571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756" cy="749143"/>
                          </a:xfrm>
                          <a:prstGeom prst="rect">
                            <a:avLst/>
                          </a:prstGeom>
                          <a:noFill/>
                          <a:ln>
                            <a:noFill/>
                          </a:ln>
                        </pic:spPr>
                      </pic:pic>
                    </a:graphicData>
                  </a:graphic>
                </wp:inline>
              </w:drawing>
            </w:r>
          </w:p>
          <w:p w:rsidR="00974602" w:rsidRDefault="00974602" w:rsidP="002707B8">
            <w:pPr>
              <w:widowControl w:val="0"/>
              <w:tabs>
                <w:tab w:val="left" w:pos="8447"/>
              </w:tabs>
              <w:autoSpaceDE w:val="0"/>
              <w:autoSpaceDN w:val="0"/>
              <w:adjustRightInd w:val="0"/>
              <w:rPr>
                <w:sz w:val="28"/>
                <w:szCs w:val="28"/>
              </w:rPr>
            </w:pPr>
          </w:p>
        </w:tc>
        <w:tc>
          <w:tcPr>
            <w:tcW w:w="4324" w:type="dxa"/>
            <w:vAlign w:val="center"/>
          </w:tcPr>
          <w:p w:rsidR="00974602" w:rsidRDefault="00974602" w:rsidP="002707B8">
            <w:pPr>
              <w:pStyle w:val="a4"/>
            </w:pPr>
            <w:r>
              <w:t xml:space="preserve">                            </w:t>
            </w:r>
          </w:p>
          <w:p w:rsidR="00974602" w:rsidRDefault="00974602" w:rsidP="002707B8">
            <w:pPr>
              <w:pStyle w:val="a4"/>
            </w:pPr>
          </w:p>
          <w:p w:rsidR="00974602" w:rsidRDefault="00974602" w:rsidP="002707B8">
            <w:pPr>
              <w:pStyle w:val="a4"/>
            </w:pPr>
          </w:p>
          <w:p w:rsidR="00974602" w:rsidRDefault="00974602" w:rsidP="002707B8">
            <w:pPr>
              <w:pStyle w:val="a4"/>
            </w:pPr>
          </w:p>
          <w:p w:rsidR="00974602" w:rsidRPr="009A707D" w:rsidRDefault="00974602" w:rsidP="002707B8">
            <w:pPr>
              <w:pStyle w:val="a4"/>
            </w:pPr>
          </w:p>
        </w:tc>
      </w:tr>
    </w:tbl>
    <w:p w:rsidR="00974602" w:rsidRPr="00721765" w:rsidRDefault="00974602" w:rsidP="00974602">
      <w:pPr>
        <w:widowControl w:val="0"/>
        <w:tabs>
          <w:tab w:val="left" w:pos="3118"/>
        </w:tabs>
        <w:autoSpaceDE w:val="0"/>
        <w:autoSpaceDN w:val="0"/>
        <w:adjustRightInd w:val="0"/>
        <w:spacing w:line="360" w:lineRule="exact"/>
        <w:jc w:val="center"/>
        <w:rPr>
          <w:caps/>
          <w:sz w:val="32"/>
          <w:szCs w:val="32"/>
        </w:rPr>
      </w:pPr>
      <w:r w:rsidRPr="00721765">
        <w:rPr>
          <w:caps/>
          <w:sz w:val="32"/>
          <w:szCs w:val="32"/>
        </w:rPr>
        <w:t xml:space="preserve">Сумська міська ВІЙСЬКОВА АДМІНІСТРАЦІЯ </w:t>
      </w:r>
    </w:p>
    <w:p w:rsidR="00974602" w:rsidRPr="00721765" w:rsidRDefault="00974602" w:rsidP="00974602">
      <w:pPr>
        <w:widowControl w:val="0"/>
        <w:tabs>
          <w:tab w:val="left" w:pos="2494"/>
        </w:tabs>
        <w:autoSpaceDE w:val="0"/>
        <w:autoSpaceDN w:val="0"/>
        <w:adjustRightInd w:val="0"/>
        <w:spacing w:line="360" w:lineRule="exact"/>
        <w:jc w:val="center"/>
        <w:rPr>
          <w:color w:val="000000"/>
          <w:sz w:val="32"/>
          <w:szCs w:val="32"/>
        </w:rPr>
      </w:pPr>
      <w:r w:rsidRPr="00721765">
        <w:rPr>
          <w:color w:val="000000"/>
          <w:sz w:val="32"/>
          <w:szCs w:val="32"/>
        </w:rPr>
        <w:t>СУМСЬКОГО РАЙОНУ СУМСЬКОЇ ОБЛАСТІ</w:t>
      </w:r>
    </w:p>
    <w:p w:rsidR="00974602" w:rsidRDefault="00974602" w:rsidP="00974602">
      <w:pPr>
        <w:jc w:val="center"/>
        <w:rPr>
          <w:b/>
          <w:bCs/>
          <w:color w:val="000000"/>
          <w:sz w:val="32"/>
          <w:szCs w:val="32"/>
        </w:rPr>
      </w:pPr>
      <w:r w:rsidRPr="00721765">
        <w:rPr>
          <w:b/>
          <w:bCs/>
          <w:color w:val="000000"/>
          <w:sz w:val="32"/>
          <w:szCs w:val="32"/>
        </w:rPr>
        <w:t>НАКАЗ</w:t>
      </w:r>
    </w:p>
    <w:p w:rsidR="00974602" w:rsidRPr="00721765" w:rsidRDefault="00974602" w:rsidP="00974602">
      <w:pPr>
        <w:jc w:val="center"/>
        <w:rPr>
          <w:b/>
          <w:bCs/>
          <w:color w:val="000000"/>
          <w:sz w:val="32"/>
          <w:szCs w:val="32"/>
        </w:rPr>
      </w:pPr>
    </w:p>
    <w:p w:rsidR="00974602" w:rsidRPr="00B55432" w:rsidRDefault="00974602" w:rsidP="00974602">
      <w:pPr>
        <w:tabs>
          <w:tab w:val="left" w:pos="8355"/>
        </w:tabs>
        <w:rPr>
          <w:sz w:val="18"/>
          <w:szCs w:val="18"/>
        </w:rPr>
      </w:pPr>
      <w:r>
        <w:rPr>
          <w:sz w:val="18"/>
          <w:szCs w:val="18"/>
        </w:rPr>
        <w:tab/>
      </w:r>
    </w:p>
    <w:tbl>
      <w:tblPr>
        <w:tblW w:w="0" w:type="auto"/>
        <w:tblInd w:w="-106" w:type="dxa"/>
        <w:tblLook w:val="00A0" w:firstRow="1" w:lastRow="0" w:firstColumn="1" w:lastColumn="0" w:noHBand="0" w:noVBand="0"/>
      </w:tblPr>
      <w:tblGrid>
        <w:gridCol w:w="9569"/>
      </w:tblGrid>
      <w:tr w:rsidR="00974602" w:rsidTr="00974602">
        <w:trPr>
          <w:trHeight w:val="114"/>
        </w:trPr>
        <w:tc>
          <w:tcPr>
            <w:tcW w:w="9745" w:type="dxa"/>
            <w:tcMar>
              <w:top w:w="0" w:type="dxa"/>
              <w:left w:w="0" w:type="dxa"/>
              <w:bottom w:w="0" w:type="dxa"/>
              <w:right w:w="108" w:type="dxa"/>
            </w:tcMar>
          </w:tcPr>
          <w:p w:rsidR="00974602" w:rsidRDefault="00A35EF2" w:rsidP="00A35EF2">
            <w:pPr>
              <w:tabs>
                <w:tab w:val="left" w:pos="1560"/>
              </w:tabs>
              <w:jc w:val="both"/>
              <w:rPr>
                <w:sz w:val="28"/>
                <w:szCs w:val="28"/>
              </w:rPr>
            </w:pPr>
            <w:r>
              <w:rPr>
                <w:sz w:val="28"/>
                <w:szCs w:val="28"/>
              </w:rPr>
              <w:t xml:space="preserve">04.12.2023                         </w:t>
            </w:r>
            <w:r w:rsidR="00974602">
              <w:rPr>
                <w:sz w:val="28"/>
                <w:szCs w:val="28"/>
              </w:rPr>
              <w:t xml:space="preserve">               м. Суми                    </w:t>
            </w:r>
            <w:r w:rsidR="005214CA">
              <w:rPr>
                <w:sz w:val="28"/>
                <w:szCs w:val="28"/>
              </w:rPr>
              <w:t xml:space="preserve">     № 63</w:t>
            </w:r>
            <w:r w:rsidR="00974602">
              <w:rPr>
                <w:sz w:val="28"/>
                <w:szCs w:val="28"/>
              </w:rPr>
              <w:t>-СМР</w:t>
            </w:r>
          </w:p>
        </w:tc>
      </w:tr>
      <w:tr w:rsidR="00974602" w:rsidTr="00974602">
        <w:trPr>
          <w:trHeight w:val="218"/>
        </w:trPr>
        <w:tc>
          <w:tcPr>
            <w:tcW w:w="9745" w:type="dxa"/>
            <w:tcMar>
              <w:top w:w="0" w:type="dxa"/>
              <w:left w:w="0" w:type="dxa"/>
              <w:bottom w:w="0" w:type="dxa"/>
              <w:right w:w="108" w:type="dxa"/>
            </w:tcMar>
          </w:tcPr>
          <w:p w:rsidR="00974602" w:rsidRDefault="00974602" w:rsidP="002707B8">
            <w:pPr>
              <w:tabs>
                <w:tab w:val="left" w:pos="1560"/>
              </w:tabs>
              <w:jc w:val="both"/>
              <w:rPr>
                <w:sz w:val="28"/>
                <w:szCs w:val="28"/>
              </w:rPr>
            </w:pPr>
          </w:p>
        </w:tc>
      </w:tr>
      <w:tr w:rsidR="00974602" w:rsidTr="002707B8">
        <w:trPr>
          <w:trHeight w:val="80"/>
        </w:trPr>
        <w:tc>
          <w:tcPr>
            <w:tcW w:w="9745" w:type="dxa"/>
            <w:tcMar>
              <w:top w:w="0" w:type="dxa"/>
              <w:left w:w="0" w:type="dxa"/>
              <w:bottom w:w="0" w:type="dxa"/>
              <w:right w:w="108" w:type="dxa"/>
            </w:tcMar>
          </w:tcPr>
          <w:p w:rsidR="00974602" w:rsidRPr="00974152" w:rsidRDefault="00974602" w:rsidP="002707B8">
            <w:pPr>
              <w:tabs>
                <w:tab w:val="left" w:pos="1560"/>
              </w:tabs>
              <w:ind w:firstLine="709"/>
              <w:jc w:val="both"/>
              <w:rPr>
                <w:sz w:val="16"/>
                <w:szCs w:val="16"/>
              </w:rPr>
            </w:pPr>
          </w:p>
        </w:tc>
      </w:tr>
      <w:tr w:rsidR="00974602" w:rsidTr="002707B8">
        <w:tc>
          <w:tcPr>
            <w:tcW w:w="9745" w:type="dxa"/>
            <w:tcMar>
              <w:top w:w="0" w:type="dxa"/>
              <w:left w:w="0" w:type="dxa"/>
              <w:bottom w:w="0" w:type="dxa"/>
              <w:right w:w="108" w:type="dxa"/>
            </w:tcMar>
          </w:tcPr>
          <w:p w:rsidR="00974602" w:rsidRDefault="00974602" w:rsidP="002707B8">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перенесення терміну повернення</w:t>
            </w:r>
          </w:p>
          <w:p w:rsidR="00974602" w:rsidRDefault="00974602" w:rsidP="002707B8">
            <w:pPr>
              <w:widowControl w:val="0"/>
              <w:tabs>
                <w:tab w:val="left" w:pos="8447"/>
              </w:tabs>
              <w:autoSpaceDE w:val="0"/>
              <w:autoSpaceDN w:val="0"/>
              <w:adjustRightInd w:val="0"/>
              <w:jc w:val="both"/>
              <w:rPr>
                <w:sz w:val="28"/>
                <w:szCs w:val="28"/>
              </w:rPr>
            </w:pPr>
            <w:r>
              <w:rPr>
                <w:sz w:val="28"/>
                <w:szCs w:val="28"/>
              </w:rPr>
              <w:t xml:space="preserve">бюджетної позички наданої </w:t>
            </w:r>
          </w:p>
          <w:p w:rsidR="00974602" w:rsidRDefault="00974602" w:rsidP="002707B8">
            <w:pPr>
              <w:widowControl w:val="0"/>
              <w:tabs>
                <w:tab w:val="left" w:pos="8447"/>
              </w:tabs>
              <w:autoSpaceDE w:val="0"/>
              <w:autoSpaceDN w:val="0"/>
              <w:adjustRightInd w:val="0"/>
              <w:jc w:val="both"/>
              <w:rPr>
                <w:sz w:val="28"/>
                <w:szCs w:val="28"/>
              </w:rPr>
            </w:pPr>
            <w:r w:rsidRPr="00363440">
              <w:rPr>
                <w:sz w:val="28"/>
                <w:szCs w:val="28"/>
              </w:rPr>
              <w:t>комунальн</w:t>
            </w:r>
            <w:r>
              <w:rPr>
                <w:sz w:val="28"/>
                <w:szCs w:val="28"/>
              </w:rPr>
              <w:t>ому</w:t>
            </w:r>
            <w:r w:rsidRPr="00363440">
              <w:rPr>
                <w:sz w:val="28"/>
                <w:szCs w:val="28"/>
              </w:rPr>
              <w:t xml:space="preserve"> підприємств</w:t>
            </w:r>
            <w:r>
              <w:rPr>
                <w:sz w:val="28"/>
                <w:szCs w:val="28"/>
              </w:rPr>
              <w:t>у</w:t>
            </w:r>
            <w:r w:rsidRPr="00363440">
              <w:rPr>
                <w:sz w:val="28"/>
                <w:szCs w:val="28"/>
              </w:rPr>
              <w:t xml:space="preserve"> </w:t>
            </w:r>
          </w:p>
          <w:p w:rsidR="00974602" w:rsidRDefault="00974602" w:rsidP="002707B8">
            <w:pPr>
              <w:widowControl w:val="0"/>
              <w:tabs>
                <w:tab w:val="left" w:pos="8447"/>
              </w:tabs>
              <w:autoSpaceDE w:val="0"/>
              <w:autoSpaceDN w:val="0"/>
              <w:adjustRightInd w:val="0"/>
              <w:jc w:val="both"/>
              <w:rPr>
                <w:sz w:val="28"/>
                <w:szCs w:val="28"/>
              </w:rPr>
            </w:pPr>
            <w:r w:rsidRPr="00363440">
              <w:rPr>
                <w:sz w:val="28"/>
                <w:szCs w:val="28"/>
              </w:rPr>
              <w:t>«Сумитеплоенергоцентраль»</w:t>
            </w:r>
          </w:p>
          <w:p w:rsidR="00974602" w:rsidRDefault="00974602" w:rsidP="002707B8">
            <w:pPr>
              <w:widowControl w:val="0"/>
              <w:tabs>
                <w:tab w:val="left" w:pos="8447"/>
              </w:tabs>
              <w:autoSpaceDE w:val="0"/>
              <w:autoSpaceDN w:val="0"/>
              <w:adjustRightInd w:val="0"/>
              <w:jc w:val="both"/>
              <w:rPr>
                <w:sz w:val="28"/>
                <w:szCs w:val="28"/>
              </w:rPr>
            </w:pPr>
            <w:r w:rsidRPr="00363440">
              <w:rPr>
                <w:sz w:val="28"/>
                <w:szCs w:val="28"/>
              </w:rPr>
              <w:t>Сумської міської ради</w:t>
            </w:r>
          </w:p>
          <w:p w:rsidR="00974602" w:rsidRPr="00B55432" w:rsidRDefault="00974602" w:rsidP="002707B8">
            <w:pPr>
              <w:widowControl w:val="0"/>
              <w:tabs>
                <w:tab w:val="left" w:pos="8447"/>
              </w:tabs>
              <w:autoSpaceDE w:val="0"/>
              <w:autoSpaceDN w:val="0"/>
              <w:adjustRightInd w:val="0"/>
              <w:jc w:val="both"/>
              <w:rPr>
                <w:sz w:val="18"/>
                <w:szCs w:val="18"/>
              </w:rPr>
            </w:pPr>
          </w:p>
        </w:tc>
      </w:tr>
    </w:tbl>
    <w:p w:rsidR="00974602" w:rsidRPr="00896A08" w:rsidRDefault="00974602" w:rsidP="00974602">
      <w:pPr>
        <w:widowControl w:val="0"/>
        <w:tabs>
          <w:tab w:val="left" w:pos="566"/>
        </w:tabs>
        <w:autoSpaceDE w:val="0"/>
        <w:autoSpaceDN w:val="0"/>
        <w:adjustRightInd w:val="0"/>
        <w:ind w:firstLine="567"/>
        <w:jc w:val="both"/>
        <w:rPr>
          <w:b/>
          <w:sz w:val="28"/>
          <w:szCs w:val="28"/>
        </w:rPr>
      </w:pPr>
      <w:r>
        <w:rPr>
          <w:rFonts w:cs="Tahoma"/>
          <w:sz w:val="28"/>
          <w:szCs w:val="28"/>
        </w:rPr>
        <w:t xml:space="preserve">Розглянувши звернення комунального підприємства «Сумитеплоенергоцентраль» Сумської міської ради від 27 </w:t>
      </w:r>
      <w:r w:rsidRPr="00871E7D">
        <w:rPr>
          <w:rFonts w:cs="Tahoma"/>
          <w:sz w:val="28"/>
          <w:szCs w:val="28"/>
        </w:rPr>
        <w:t>листопада</w:t>
      </w:r>
      <w:r w:rsidRPr="002B69BE">
        <w:rPr>
          <w:rFonts w:cs="Tahoma"/>
          <w:color w:val="800000"/>
          <w:sz w:val="28"/>
          <w:szCs w:val="28"/>
        </w:rPr>
        <w:t xml:space="preserve"> </w:t>
      </w:r>
      <w:r>
        <w:rPr>
          <w:rFonts w:cs="Tahoma"/>
          <w:color w:val="000000"/>
          <w:sz w:val="28"/>
          <w:szCs w:val="28"/>
        </w:rPr>
        <w:t>2023</w:t>
      </w:r>
      <w:r w:rsidRPr="002B69BE">
        <w:rPr>
          <w:rFonts w:cs="Tahoma"/>
          <w:sz w:val="28"/>
          <w:szCs w:val="28"/>
        </w:rPr>
        <w:t xml:space="preserve"> року</w:t>
      </w:r>
      <w:r>
        <w:rPr>
          <w:rFonts w:cs="Tahoma"/>
          <w:sz w:val="28"/>
          <w:szCs w:val="28"/>
        </w:rPr>
        <w:t xml:space="preserve"> </w:t>
      </w:r>
      <w:r w:rsidRPr="002B69BE">
        <w:rPr>
          <w:rFonts w:cs="Tahoma"/>
          <w:sz w:val="28"/>
          <w:szCs w:val="28"/>
        </w:rPr>
        <w:t xml:space="preserve">№ </w:t>
      </w:r>
      <w:r>
        <w:rPr>
          <w:rFonts w:cs="Tahoma"/>
          <w:sz w:val="28"/>
          <w:szCs w:val="28"/>
        </w:rPr>
        <w:t>9</w:t>
      </w:r>
      <w:r w:rsidRPr="002B69BE">
        <w:rPr>
          <w:rFonts w:cs="Tahoma"/>
          <w:color w:val="000000"/>
          <w:sz w:val="28"/>
          <w:szCs w:val="28"/>
        </w:rPr>
        <w:t>6</w:t>
      </w:r>
      <w:r>
        <w:rPr>
          <w:rFonts w:cs="Tahoma"/>
          <w:color w:val="000000"/>
          <w:sz w:val="28"/>
          <w:szCs w:val="28"/>
        </w:rPr>
        <w:t>5</w:t>
      </w:r>
      <w:r w:rsidRPr="002B69BE">
        <w:rPr>
          <w:rFonts w:cs="Tahoma"/>
          <w:color w:val="000000"/>
          <w:sz w:val="28"/>
          <w:szCs w:val="28"/>
        </w:rPr>
        <w:t>/01-03 щодо подовження терміну сплати бюджетної позички</w:t>
      </w:r>
      <w:r>
        <w:rPr>
          <w:rFonts w:cs="Tahoma"/>
          <w:color w:val="000000"/>
          <w:sz w:val="28"/>
          <w:szCs w:val="28"/>
        </w:rPr>
        <w:t xml:space="preserve">, наданої згідно з рішенням Сумської міської ради від 27 жовтня  2021 року                № 2225-МР «Про надання </w:t>
      </w:r>
      <w:r w:rsidRPr="00CB075D">
        <w:rPr>
          <w:rFonts w:cs="Tahoma"/>
          <w:color w:val="000000"/>
          <w:sz w:val="28"/>
          <w:szCs w:val="28"/>
        </w:rPr>
        <w:t>бюджетної позички наданої комунальному підприємству «Сумитеплоенергоцентраль» Сумської міської ради</w:t>
      </w:r>
      <w:r>
        <w:rPr>
          <w:rFonts w:cs="Tahoma"/>
          <w:color w:val="000000"/>
          <w:sz w:val="28"/>
          <w:szCs w:val="28"/>
        </w:rPr>
        <w:t>»,</w:t>
      </w:r>
      <w:r>
        <w:rPr>
          <w:rFonts w:cs="Tahoma"/>
          <w:sz w:val="28"/>
          <w:szCs w:val="28"/>
        </w:rPr>
        <w:t xml:space="preserve"> </w:t>
      </w:r>
      <w:r w:rsidRPr="003C7403">
        <w:rPr>
          <w:rFonts w:cs="Tahoma"/>
          <w:sz w:val="28"/>
          <w:szCs w:val="28"/>
        </w:rPr>
        <w:t>керуючись</w:t>
      </w:r>
      <w:r>
        <w:rPr>
          <w:rFonts w:cs="Tahoma"/>
          <w:sz w:val="28"/>
          <w:szCs w:val="28"/>
        </w:rPr>
        <w:t xml:space="preserve"> пунктом 5 частини 2 та пунктом 8</w:t>
      </w:r>
      <w:r w:rsidRPr="003C7403">
        <w:rPr>
          <w:rFonts w:cs="Tahoma"/>
          <w:sz w:val="28"/>
          <w:szCs w:val="28"/>
        </w:rPr>
        <w:t xml:space="preserve"> </w:t>
      </w:r>
      <w:r>
        <w:rPr>
          <w:rFonts w:cs="Tahoma"/>
          <w:sz w:val="28"/>
          <w:szCs w:val="28"/>
        </w:rPr>
        <w:t>частини 6</w:t>
      </w:r>
      <w:r w:rsidRPr="003C7403">
        <w:rPr>
          <w:rFonts w:cs="Tahoma"/>
          <w:sz w:val="28"/>
          <w:szCs w:val="28"/>
        </w:rPr>
        <w:t xml:space="preserve"> статті 15 Закону України «Про правовий режим воєнного стану»</w:t>
      </w:r>
    </w:p>
    <w:p w:rsidR="00974602" w:rsidRDefault="00974602" w:rsidP="00974602">
      <w:pPr>
        <w:jc w:val="center"/>
        <w:rPr>
          <w:b/>
          <w:bCs/>
          <w:sz w:val="28"/>
          <w:szCs w:val="28"/>
        </w:rPr>
      </w:pPr>
    </w:p>
    <w:p w:rsidR="00974602" w:rsidRPr="007A6661" w:rsidRDefault="00974602" w:rsidP="00974602">
      <w:pPr>
        <w:rPr>
          <w:bCs/>
          <w:sz w:val="28"/>
          <w:szCs w:val="28"/>
        </w:rPr>
      </w:pPr>
      <w:r w:rsidRPr="007A6661">
        <w:rPr>
          <w:bCs/>
          <w:sz w:val="28"/>
          <w:szCs w:val="28"/>
        </w:rPr>
        <w:t>НАКАЗУЮ:</w:t>
      </w:r>
    </w:p>
    <w:p w:rsidR="00974602" w:rsidRPr="00B55432" w:rsidRDefault="00974602" w:rsidP="00974602">
      <w:pPr>
        <w:jc w:val="both"/>
        <w:rPr>
          <w:b/>
          <w:bCs/>
          <w:sz w:val="18"/>
          <w:szCs w:val="18"/>
        </w:rPr>
      </w:pPr>
    </w:p>
    <w:p w:rsidR="00974602" w:rsidRDefault="00974602" w:rsidP="00974602">
      <w:pPr>
        <w:ind w:firstLine="567"/>
        <w:jc w:val="both"/>
        <w:rPr>
          <w:sz w:val="28"/>
          <w:szCs w:val="28"/>
        </w:rPr>
      </w:pPr>
      <w:r>
        <w:rPr>
          <w:sz w:val="28"/>
          <w:szCs w:val="28"/>
        </w:rPr>
        <w:t>1. Перенести</w:t>
      </w:r>
      <w:r w:rsidRPr="001D5876">
        <w:rPr>
          <w:sz w:val="28"/>
          <w:szCs w:val="28"/>
        </w:rPr>
        <w:t xml:space="preserve"> термін повернення </w:t>
      </w:r>
      <w:r>
        <w:rPr>
          <w:sz w:val="28"/>
          <w:szCs w:val="28"/>
        </w:rPr>
        <w:t xml:space="preserve">бюджетної позички, наданої з міського бюджету </w:t>
      </w:r>
      <w:r w:rsidRPr="004D5978">
        <w:rPr>
          <w:sz w:val="28"/>
          <w:szCs w:val="28"/>
        </w:rPr>
        <w:t>комунальному підприємству «Сумитеплоенергоцентраль» Сумської міської ради</w:t>
      </w:r>
      <w:r>
        <w:rPr>
          <w:sz w:val="28"/>
          <w:szCs w:val="28"/>
        </w:rPr>
        <w:t xml:space="preserve"> у </w:t>
      </w:r>
      <w:r w:rsidRPr="004D5978">
        <w:rPr>
          <w:sz w:val="28"/>
          <w:szCs w:val="28"/>
        </w:rPr>
        <w:t>сумі 5</w:t>
      </w:r>
      <w:r>
        <w:rPr>
          <w:sz w:val="28"/>
          <w:szCs w:val="28"/>
        </w:rPr>
        <w:t> 6</w:t>
      </w:r>
      <w:r w:rsidRPr="004D5978">
        <w:rPr>
          <w:sz w:val="28"/>
          <w:szCs w:val="28"/>
        </w:rPr>
        <w:t>00</w:t>
      </w:r>
      <w:r>
        <w:rPr>
          <w:sz w:val="28"/>
          <w:szCs w:val="28"/>
        </w:rPr>
        <w:t xml:space="preserve"> 000 (п'ять мільйонів шіст</w:t>
      </w:r>
      <w:r w:rsidRPr="004D5978">
        <w:rPr>
          <w:sz w:val="28"/>
          <w:szCs w:val="28"/>
        </w:rPr>
        <w:t>сот тисяч) гривень</w:t>
      </w:r>
      <w:r>
        <w:rPr>
          <w:sz w:val="28"/>
          <w:szCs w:val="28"/>
        </w:rPr>
        <w:t xml:space="preserve">                                </w:t>
      </w:r>
      <w:r w:rsidRPr="001D5876">
        <w:rPr>
          <w:sz w:val="28"/>
          <w:szCs w:val="28"/>
        </w:rPr>
        <w:t xml:space="preserve">        </w:t>
      </w:r>
      <w:r w:rsidRPr="00B4769E">
        <w:rPr>
          <w:sz w:val="28"/>
          <w:szCs w:val="28"/>
        </w:rPr>
        <w:t>з грудня 202</w:t>
      </w:r>
      <w:r>
        <w:rPr>
          <w:sz w:val="28"/>
          <w:szCs w:val="28"/>
        </w:rPr>
        <w:t>3</w:t>
      </w:r>
      <w:r w:rsidRPr="00B4769E">
        <w:rPr>
          <w:sz w:val="28"/>
          <w:szCs w:val="28"/>
        </w:rPr>
        <w:t xml:space="preserve"> року на грудень 202</w:t>
      </w:r>
      <w:r>
        <w:rPr>
          <w:sz w:val="28"/>
          <w:szCs w:val="28"/>
        </w:rPr>
        <w:t>4</w:t>
      </w:r>
      <w:r w:rsidRPr="00B4769E">
        <w:rPr>
          <w:sz w:val="28"/>
          <w:szCs w:val="28"/>
        </w:rPr>
        <w:t xml:space="preserve"> року,</w:t>
      </w:r>
      <w:r w:rsidRPr="001D5876">
        <w:rPr>
          <w:sz w:val="28"/>
          <w:szCs w:val="28"/>
        </w:rPr>
        <w:t xml:space="preserve"> з</w:t>
      </w:r>
      <w:r>
        <w:rPr>
          <w:sz w:val="28"/>
          <w:szCs w:val="28"/>
        </w:rPr>
        <w:t xml:space="preserve"> терміном повернення до 23 грудня 2024 року включно зі сплатою 0,01 %</w:t>
      </w:r>
      <w:r w:rsidRPr="001D5876">
        <w:rPr>
          <w:sz w:val="28"/>
          <w:szCs w:val="28"/>
        </w:rPr>
        <w:t xml:space="preserve"> річних за користування</w:t>
      </w:r>
      <w:r>
        <w:rPr>
          <w:sz w:val="28"/>
          <w:szCs w:val="28"/>
        </w:rPr>
        <w:t xml:space="preserve"> бюджетною </w:t>
      </w:r>
      <w:r w:rsidRPr="001D5876">
        <w:rPr>
          <w:sz w:val="28"/>
          <w:szCs w:val="28"/>
        </w:rPr>
        <w:t xml:space="preserve"> </w:t>
      </w:r>
      <w:r>
        <w:rPr>
          <w:sz w:val="28"/>
          <w:szCs w:val="28"/>
        </w:rPr>
        <w:t xml:space="preserve">позичкою. </w:t>
      </w:r>
      <w:r w:rsidRPr="001D5876">
        <w:rPr>
          <w:sz w:val="28"/>
          <w:szCs w:val="28"/>
        </w:rPr>
        <w:t xml:space="preserve"> </w:t>
      </w:r>
    </w:p>
    <w:p w:rsidR="00974602" w:rsidRDefault="00974602" w:rsidP="00974602">
      <w:pPr>
        <w:ind w:firstLine="567"/>
        <w:jc w:val="both"/>
        <w:rPr>
          <w:sz w:val="28"/>
          <w:szCs w:val="28"/>
        </w:rPr>
      </w:pPr>
      <w:r w:rsidRPr="00D71F69">
        <w:rPr>
          <w:sz w:val="28"/>
          <w:szCs w:val="28"/>
        </w:rPr>
        <w:t xml:space="preserve">2. </w:t>
      </w:r>
      <w:r>
        <w:rPr>
          <w:sz w:val="28"/>
          <w:szCs w:val="28"/>
        </w:rPr>
        <w:t>Департаменту фінансів, економіки та інвестицій Сумської міської ради (Липова С.А.) врахувати пункт 1 рішення при формуванні проекту бюджету Сумської міської територіальної громади на 2024 рік.</w:t>
      </w:r>
    </w:p>
    <w:p w:rsidR="00974602" w:rsidRDefault="00974602" w:rsidP="00974602">
      <w:pPr>
        <w:ind w:firstLine="567"/>
        <w:jc w:val="both"/>
        <w:rPr>
          <w:color w:val="000000"/>
          <w:sz w:val="28"/>
          <w:szCs w:val="28"/>
        </w:rPr>
      </w:pPr>
      <w:r>
        <w:rPr>
          <w:sz w:val="28"/>
          <w:szCs w:val="28"/>
        </w:rPr>
        <w:t xml:space="preserve">3. </w:t>
      </w:r>
      <w:r w:rsidRPr="00D71F69">
        <w:rPr>
          <w:sz w:val="28"/>
          <w:szCs w:val="28"/>
        </w:rPr>
        <w:t>Організацію виконання даного рішення покласти на заступника міського голови згідно з розподілом обов’язків.</w:t>
      </w:r>
    </w:p>
    <w:p w:rsidR="00974602" w:rsidRDefault="00974602" w:rsidP="00974602">
      <w:pPr>
        <w:ind w:firstLine="567"/>
        <w:jc w:val="both"/>
        <w:rPr>
          <w:color w:val="000000"/>
          <w:sz w:val="28"/>
          <w:szCs w:val="28"/>
        </w:rPr>
      </w:pPr>
    </w:p>
    <w:p w:rsidR="00974602" w:rsidRDefault="00974602" w:rsidP="00974602">
      <w:pPr>
        <w:ind w:firstLine="567"/>
        <w:jc w:val="both"/>
        <w:rPr>
          <w:color w:val="000000"/>
          <w:sz w:val="28"/>
          <w:szCs w:val="28"/>
        </w:rPr>
      </w:pPr>
    </w:p>
    <w:p w:rsidR="00974602" w:rsidRDefault="00974602" w:rsidP="00974602">
      <w:pPr>
        <w:ind w:firstLine="567"/>
        <w:jc w:val="both"/>
        <w:rPr>
          <w:color w:val="000000"/>
          <w:sz w:val="28"/>
          <w:szCs w:val="28"/>
        </w:rPr>
      </w:pPr>
    </w:p>
    <w:p w:rsidR="00974602" w:rsidRPr="00896A08" w:rsidRDefault="00974602" w:rsidP="00974602">
      <w:pPr>
        <w:ind w:firstLine="567"/>
        <w:jc w:val="both"/>
        <w:rPr>
          <w:color w:val="000000"/>
          <w:sz w:val="28"/>
          <w:szCs w:val="28"/>
        </w:rPr>
      </w:pPr>
    </w:p>
    <w:p w:rsidR="00974602" w:rsidRPr="00852C87" w:rsidRDefault="00974602" w:rsidP="00974602">
      <w:pPr>
        <w:jc w:val="both"/>
        <w:rPr>
          <w:sz w:val="28"/>
          <w:szCs w:val="28"/>
        </w:rPr>
      </w:pPr>
      <w:r>
        <w:rPr>
          <w:sz w:val="28"/>
          <w:szCs w:val="28"/>
        </w:rPr>
        <w:t xml:space="preserve">Начальник </w:t>
      </w:r>
      <w:r>
        <w:rPr>
          <w:sz w:val="28"/>
          <w:szCs w:val="28"/>
        </w:rPr>
        <w:tab/>
      </w:r>
      <w:r>
        <w:rPr>
          <w:sz w:val="28"/>
          <w:szCs w:val="28"/>
        </w:rPr>
        <w:tab/>
      </w:r>
      <w:r>
        <w:rPr>
          <w:sz w:val="28"/>
          <w:szCs w:val="28"/>
        </w:rPr>
        <w:tab/>
      </w:r>
      <w:r>
        <w:rPr>
          <w:sz w:val="28"/>
          <w:szCs w:val="28"/>
        </w:rPr>
        <w:tab/>
      </w:r>
      <w:r>
        <w:rPr>
          <w:sz w:val="28"/>
          <w:szCs w:val="28"/>
        </w:rPr>
        <w:tab/>
        <w:t xml:space="preserve">                                 Олексій ДРОЗДЕНКО</w:t>
      </w:r>
      <w:bookmarkStart w:id="0" w:name="_GoBack"/>
      <w:bookmarkEnd w:id="0"/>
    </w:p>
    <w:sectPr w:rsidR="00974602" w:rsidRPr="00852C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6A"/>
    <w:rsid w:val="002C498D"/>
    <w:rsid w:val="003A5D6A"/>
    <w:rsid w:val="005214CA"/>
    <w:rsid w:val="008D3A68"/>
    <w:rsid w:val="00974602"/>
    <w:rsid w:val="00A35EF2"/>
    <w:rsid w:val="00CF7CC2"/>
    <w:rsid w:val="00EF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0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974602"/>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974602"/>
    <w:pPr>
      <w:tabs>
        <w:tab w:val="center" w:pos="4677"/>
        <w:tab w:val="right" w:pos="9355"/>
      </w:tabs>
    </w:pPr>
    <w:rPr>
      <w:rFonts w:eastAsiaTheme="minorHAnsi"/>
    </w:rPr>
  </w:style>
  <w:style w:type="character" w:customStyle="1" w:styleId="1">
    <w:name w:val="Верхний колонтитул Знак1"/>
    <w:basedOn w:val="a0"/>
    <w:uiPriority w:val="99"/>
    <w:semiHidden/>
    <w:rsid w:val="00974602"/>
    <w:rPr>
      <w:rFonts w:ascii="Times New Roman" w:eastAsia="Times New Roman" w:hAnsi="Times New Roman" w:cs="Times New Roman"/>
      <w:sz w:val="24"/>
      <w:szCs w:val="24"/>
      <w:lang w:val="uk-UA" w:eastAsia="ru-RU"/>
    </w:rPr>
  </w:style>
  <w:style w:type="character" w:styleId="a5">
    <w:name w:val="Hyperlink"/>
    <w:rsid w:val="00974602"/>
    <w:rPr>
      <w:color w:val="0000FF"/>
      <w:u w:val="single"/>
    </w:rPr>
  </w:style>
  <w:style w:type="paragraph" w:styleId="a6">
    <w:name w:val="Balloon Text"/>
    <w:basedOn w:val="a"/>
    <w:link w:val="a7"/>
    <w:uiPriority w:val="99"/>
    <w:semiHidden/>
    <w:unhideWhenUsed/>
    <w:rsid w:val="00974602"/>
    <w:rPr>
      <w:rFonts w:ascii="Tahoma" w:hAnsi="Tahoma" w:cs="Tahoma"/>
      <w:sz w:val="16"/>
      <w:szCs w:val="16"/>
    </w:rPr>
  </w:style>
  <w:style w:type="character" w:customStyle="1" w:styleId="a7">
    <w:name w:val="Текст выноски Знак"/>
    <w:basedOn w:val="a0"/>
    <w:link w:val="a6"/>
    <w:uiPriority w:val="99"/>
    <w:semiHidden/>
    <w:rsid w:val="00974602"/>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602"/>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974602"/>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974602"/>
    <w:pPr>
      <w:tabs>
        <w:tab w:val="center" w:pos="4677"/>
        <w:tab w:val="right" w:pos="9355"/>
      </w:tabs>
    </w:pPr>
    <w:rPr>
      <w:rFonts w:eastAsiaTheme="minorHAnsi"/>
    </w:rPr>
  </w:style>
  <w:style w:type="character" w:customStyle="1" w:styleId="1">
    <w:name w:val="Верхний колонтитул Знак1"/>
    <w:basedOn w:val="a0"/>
    <w:uiPriority w:val="99"/>
    <w:semiHidden/>
    <w:rsid w:val="00974602"/>
    <w:rPr>
      <w:rFonts w:ascii="Times New Roman" w:eastAsia="Times New Roman" w:hAnsi="Times New Roman" w:cs="Times New Roman"/>
      <w:sz w:val="24"/>
      <w:szCs w:val="24"/>
      <w:lang w:val="uk-UA" w:eastAsia="ru-RU"/>
    </w:rPr>
  </w:style>
  <w:style w:type="character" w:styleId="a5">
    <w:name w:val="Hyperlink"/>
    <w:rsid w:val="00974602"/>
    <w:rPr>
      <w:color w:val="0000FF"/>
      <w:u w:val="single"/>
    </w:rPr>
  </w:style>
  <w:style w:type="paragraph" w:styleId="a6">
    <w:name w:val="Balloon Text"/>
    <w:basedOn w:val="a"/>
    <w:link w:val="a7"/>
    <w:uiPriority w:val="99"/>
    <w:semiHidden/>
    <w:unhideWhenUsed/>
    <w:rsid w:val="00974602"/>
    <w:rPr>
      <w:rFonts w:ascii="Tahoma" w:hAnsi="Tahoma" w:cs="Tahoma"/>
      <w:sz w:val="16"/>
      <w:szCs w:val="16"/>
    </w:rPr>
  </w:style>
  <w:style w:type="character" w:customStyle="1" w:styleId="a7">
    <w:name w:val="Текст выноски Знак"/>
    <w:basedOn w:val="a0"/>
    <w:link w:val="a6"/>
    <w:uiPriority w:val="99"/>
    <w:semiHidden/>
    <w:rsid w:val="00974602"/>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shpachenko</cp:lastModifiedBy>
  <cp:revision>3</cp:revision>
  <dcterms:created xsi:type="dcterms:W3CDTF">2023-12-04T13:44:00Z</dcterms:created>
  <dcterms:modified xsi:type="dcterms:W3CDTF">2023-12-04T13:45:00Z</dcterms:modified>
</cp:coreProperties>
</file>