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5C" w:rsidRPr="0096294B" w:rsidRDefault="0034705C" w:rsidP="0034705C">
      <w:pPr>
        <w:spacing w:line="228" w:lineRule="auto"/>
        <w:ind w:firstLine="720"/>
        <w:jc w:val="center"/>
        <w:outlineLvl w:val="0"/>
        <w:rPr>
          <w:b/>
          <w:sz w:val="28"/>
          <w:szCs w:val="28"/>
          <w:lang w:val="uk-UA"/>
        </w:rPr>
      </w:pPr>
      <w:r w:rsidRPr="0096294B">
        <w:rPr>
          <w:b/>
          <w:sz w:val="28"/>
          <w:szCs w:val="28"/>
          <w:lang w:val="uk-UA"/>
        </w:rPr>
        <w:t xml:space="preserve">Інформація </w:t>
      </w:r>
    </w:p>
    <w:p w:rsidR="0034705C" w:rsidRPr="0096294B" w:rsidRDefault="0034705C" w:rsidP="0034705C">
      <w:pPr>
        <w:spacing w:line="228" w:lineRule="auto"/>
        <w:ind w:firstLine="720"/>
        <w:jc w:val="center"/>
        <w:rPr>
          <w:b/>
          <w:bCs/>
          <w:sz w:val="28"/>
          <w:szCs w:val="28"/>
          <w:lang w:val="uk-UA"/>
        </w:rPr>
      </w:pPr>
      <w:r w:rsidRPr="0096294B">
        <w:rPr>
          <w:b/>
          <w:sz w:val="28"/>
          <w:szCs w:val="28"/>
          <w:lang w:val="uk-UA"/>
        </w:rPr>
        <w:t>про стан виконання Програми</w:t>
      </w:r>
      <w:bookmarkStart w:id="0" w:name="_GoBack"/>
      <w:bookmarkEnd w:id="0"/>
      <w:r w:rsidRPr="0096294B">
        <w:rPr>
          <w:b/>
          <w:sz w:val="28"/>
          <w:szCs w:val="28"/>
          <w:lang w:val="uk-UA"/>
        </w:rPr>
        <w:t xml:space="preserve"> </w:t>
      </w:r>
      <w:r w:rsidRPr="0096294B">
        <w:rPr>
          <w:b/>
          <w:bCs/>
          <w:sz w:val="28"/>
          <w:szCs w:val="28"/>
          <w:lang w:val="uk-UA"/>
        </w:rPr>
        <w:t xml:space="preserve">економічного і соціального розвитку міста Суми на 2016 рік </w:t>
      </w:r>
    </w:p>
    <w:p w:rsidR="0034705C" w:rsidRPr="0096294B" w:rsidRDefault="0034705C" w:rsidP="0034705C">
      <w:pPr>
        <w:spacing w:line="228" w:lineRule="auto"/>
        <w:ind w:firstLine="720"/>
        <w:jc w:val="center"/>
        <w:rPr>
          <w:b/>
          <w:bCs/>
          <w:sz w:val="28"/>
          <w:szCs w:val="28"/>
          <w:lang w:val="uk-UA"/>
        </w:rPr>
      </w:pPr>
    </w:p>
    <w:p w:rsidR="0034705C" w:rsidRPr="0096294B" w:rsidRDefault="0034705C" w:rsidP="0034705C">
      <w:pPr>
        <w:ind w:firstLine="708"/>
        <w:jc w:val="both"/>
        <w:rPr>
          <w:sz w:val="28"/>
          <w:szCs w:val="28"/>
          <w:lang w:val="uk-UA"/>
        </w:rPr>
      </w:pPr>
      <w:r w:rsidRPr="0096294B">
        <w:rPr>
          <w:sz w:val="28"/>
          <w:szCs w:val="28"/>
          <w:lang w:val="uk-UA"/>
        </w:rPr>
        <w:t xml:space="preserve">Робота виконавчих органів міської ради, установ, підприємств та організацій міста усіх сфер діяльності була направлена на забезпечення першочергових потреб мешканців  міста з виконанням пріоритетних завдань Програми.  </w:t>
      </w:r>
    </w:p>
    <w:p w:rsidR="0034705C" w:rsidRPr="0096294B" w:rsidRDefault="0034705C" w:rsidP="0034705C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96294B">
        <w:rPr>
          <w:bCs/>
          <w:sz w:val="28"/>
          <w:szCs w:val="28"/>
          <w:lang w:val="uk-UA"/>
        </w:rPr>
        <w:t xml:space="preserve">На реалізацію 23 </w:t>
      </w:r>
      <w:r w:rsidRPr="0096294B">
        <w:rPr>
          <w:sz w:val="28"/>
          <w:szCs w:val="28"/>
          <w:lang w:val="uk-UA"/>
        </w:rPr>
        <w:t>міських цільових (комплексних) програм</w:t>
      </w:r>
      <w:r w:rsidRPr="0096294B">
        <w:rPr>
          <w:bCs/>
          <w:sz w:val="28"/>
          <w:szCs w:val="28"/>
          <w:lang w:val="uk-UA"/>
        </w:rPr>
        <w:t xml:space="preserve"> у межах витрат головних розпорядників бюджетних коштів та окремих заходів Програми економічного і соціального розвитку міста Суми на 2016 рік було направлено 559,4 млн. гривень.</w:t>
      </w:r>
      <w:r w:rsidRPr="0096294B">
        <w:rPr>
          <w:sz w:val="28"/>
          <w:szCs w:val="28"/>
          <w:lang w:val="uk-UA"/>
        </w:rPr>
        <w:t xml:space="preserve"> </w:t>
      </w:r>
    </w:p>
    <w:p w:rsidR="0034705C" w:rsidRPr="0096294B" w:rsidRDefault="0034705C" w:rsidP="0034705C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96294B">
        <w:rPr>
          <w:sz w:val="28"/>
          <w:szCs w:val="28"/>
          <w:lang w:val="uk-UA"/>
        </w:rPr>
        <w:t>За підсумками звітного періоду виконання програмних соціально-економічних показників свідчить про наступне.</w:t>
      </w:r>
    </w:p>
    <w:p w:rsidR="0034705C" w:rsidRPr="0096294B" w:rsidRDefault="0034705C" w:rsidP="0034705C">
      <w:pPr>
        <w:ind w:right="-21" w:firstLine="708"/>
        <w:jc w:val="both"/>
        <w:rPr>
          <w:sz w:val="28"/>
          <w:szCs w:val="28"/>
          <w:lang w:val="uk-UA"/>
        </w:rPr>
      </w:pPr>
      <w:r w:rsidRPr="0096294B">
        <w:rPr>
          <w:sz w:val="28"/>
          <w:szCs w:val="28"/>
          <w:lang w:val="uk-UA"/>
        </w:rPr>
        <w:t xml:space="preserve">На 1 грудня 2016 року на території, підпорядкованій Сумській міській раді, за оцінкою, чисельність </w:t>
      </w:r>
      <w:r w:rsidRPr="0096294B">
        <w:rPr>
          <w:b/>
          <w:sz w:val="28"/>
          <w:szCs w:val="28"/>
          <w:lang w:val="uk-UA"/>
        </w:rPr>
        <w:t>наявного населення</w:t>
      </w:r>
      <w:r w:rsidRPr="0096294B">
        <w:rPr>
          <w:sz w:val="28"/>
          <w:szCs w:val="28"/>
          <w:lang w:val="uk-UA"/>
        </w:rPr>
        <w:t xml:space="preserve"> складала 266,8 тис. осіб.. Упродовж січня-листопада 2016 року чисельність населення зменшилася на 3705 осіб, у тому числі за рахунок природного скорочення на 892 осіб, за рахунок міграційного - на 2813 осіб.</w:t>
      </w:r>
    </w:p>
    <w:p w:rsidR="0034705C" w:rsidRPr="0096294B" w:rsidRDefault="0034705C" w:rsidP="0034705C">
      <w:pPr>
        <w:keepLines/>
        <w:tabs>
          <w:tab w:val="left" w:pos="7305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96294B">
        <w:rPr>
          <w:bCs/>
          <w:sz w:val="28"/>
          <w:szCs w:val="28"/>
          <w:lang w:val="uk-UA"/>
        </w:rPr>
        <w:t xml:space="preserve">Обсяг </w:t>
      </w:r>
      <w:r w:rsidRPr="0096294B">
        <w:rPr>
          <w:b/>
          <w:bCs/>
          <w:sz w:val="28"/>
          <w:szCs w:val="28"/>
          <w:lang w:val="uk-UA"/>
        </w:rPr>
        <w:t>реалізованої промислової продукції</w:t>
      </w:r>
      <w:r w:rsidRPr="0096294B">
        <w:rPr>
          <w:bCs/>
          <w:sz w:val="28"/>
          <w:szCs w:val="28"/>
          <w:lang w:val="uk-UA"/>
        </w:rPr>
        <w:t xml:space="preserve"> (товарів, послуг) підприємствами міста за 11 місяців 2016 року склав 15,2 млрд. грн., що  на 15,2% більше проти показника  відповідного періоду 2015 року (при річному програмному показнику на рік 15,8 млрд. грн.)</w:t>
      </w:r>
      <w:r w:rsidRPr="0096294B">
        <w:rPr>
          <w:sz w:val="28"/>
          <w:szCs w:val="28"/>
          <w:lang w:val="uk-UA"/>
        </w:rPr>
        <w:t xml:space="preserve">. </w:t>
      </w:r>
    </w:p>
    <w:p w:rsidR="0034705C" w:rsidRPr="0096294B" w:rsidRDefault="0034705C" w:rsidP="0034705C">
      <w:pPr>
        <w:keepLines/>
        <w:tabs>
          <w:tab w:val="left" w:pos="7305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96294B">
        <w:rPr>
          <w:sz w:val="28"/>
          <w:szCs w:val="28"/>
          <w:lang w:val="uk-UA"/>
        </w:rPr>
        <w:t>Промислові підприємства міста продовжували оновлювати та розширювати виробничі потужності за рахунок власних ресурсів.</w:t>
      </w:r>
    </w:p>
    <w:p w:rsidR="0034705C" w:rsidRPr="0096294B" w:rsidRDefault="0034705C" w:rsidP="0034705C">
      <w:pPr>
        <w:ind w:firstLine="708"/>
        <w:jc w:val="both"/>
        <w:rPr>
          <w:sz w:val="28"/>
          <w:szCs w:val="28"/>
          <w:lang w:val="uk-UA"/>
        </w:rPr>
      </w:pPr>
      <w:r w:rsidRPr="0096294B">
        <w:rPr>
          <w:sz w:val="28"/>
          <w:szCs w:val="28"/>
          <w:lang w:val="uk-UA"/>
        </w:rPr>
        <w:t>Зокрема, ТОВ «</w:t>
      </w:r>
      <w:proofErr w:type="spellStart"/>
      <w:r w:rsidRPr="0096294B">
        <w:rPr>
          <w:sz w:val="28"/>
          <w:szCs w:val="28"/>
          <w:lang w:val="uk-UA"/>
        </w:rPr>
        <w:t>ГуалаПак</w:t>
      </w:r>
      <w:proofErr w:type="spellEnd"/>
      <w:r w:rsidRPr="0096294B">
        <w:rPr>
          <w:sz w:val="28"/>
          <w:szCs w:val="28"/>
          <w:lang w:val="uk-UA"/>
        </w:rPr>
        <w:t xml:space="preserve"> Україна» розпочато будівництво заводу з виробництва упаковки для дитячого харчування за </w:t>
      </w:r>
      <w:proofErr w:type="spellStart"/>
      <w:r w:rsidRPr="0096294B">
        <w:rPr>
          <w:sz w:val="28"/>
          <w:szCs w:val="28"/>
          <w:lang w:val="uk-UA"/>
        </w:rPr>
        <w:t>адресою</w:t>
      </w:r>
      <w:proofErr w:type="spellEnd"/>
      <w:r w:rsidRPr="0096294B">
        <w:rPr>
          <w:sz w:val="28"/>
          <w:szCs w:val="28"/>
          <w:lang w:val="uk-UA"/>
        </w:rPr>
        <w:t xml:space="preserve"> </w:t>
      </w:r>
      <w:proofErr w:type="spellStart"/>
      <w:r w:rsidRPr="0096294B">
        <w:rPr>
          <w:sz w:val="28"/>
          <w:szCs w:val="28"/>
          <w:lang w:val="uk-UA"/>
        </w:rPr>
        <w:t>просп</w:t>
      </w:r>
      <w:proofErr w:type="spellEnd"/>
      <w:r w:rsidRPr="0096294B">
        <w:rPr>
          <w:sz w:val="28"/>
          <w:szCs w:val="28"/>
          <w:lang w:val="uk-UA"/>
        </w:rPr>
        <w:t xml:space="preserve">. Курський, 147/4. Кошторисна вартість проекту - 130 млн. грн.. (за 2016 рік освоєно 87,2 млн. грн.) Також придбано додаткове обладнання для виробництва пакетів, кришок до них на суму 53,7 млн. гривень, що </w:t>
      </w:r>
      <w:proofErr w:type="spellStart"/>
      <w:r w:rsidRPr="0096294B">
        <w:rPr>
          <w:sz w:val="28"/>
          <w:szCs w:val="28"/>
          <w:lang w:val="uk-UA"/>
        </w:rPr>
        <w:t>надасть</w:t>
      </w:r>
      <w:proofErr w:type="spellEnd"/>
      <w:r w:rsidRPr="0096294B">
        <w:rPr>
          <w:sz w:val="28"/>
          <w:szCs w:val="28"/>
          <w:lang w:val="uk-UA"/>
        </w:rPr>
        <w:t xml:space="preserve"> можливість досягти зростання обсягів виробництва.</w:t>
      </w:r>
    </w:p>
    <w:p w:rsidR="0034705C" w:rsidRPr="0096294B" w:rsidRDefault="0034705C" w:rsidP="0034705C">
      <w:pPr>
        <w:ind w:firstLine="708"/>
        <w:jc w:val="both"/>
        <w:rPr>
          <w:sz w:val="28"/>
          <w:szCs w:val="28"/>
          <w:lang w:val="uk-UA"/>
        </w:rPr>
      </w:pPr>
      <w:r w:rsidRPr="0096294B">
        <w:rPr>
          <w:sz w:val="28"/>
          <w:szCs w:val="28"/>
          <w:lang w:val="uk-UA"/>
        </w:rPr>
        <w:t>АТ «НВАТ «ВНДІКОМПРЕСОРМАШ» розпочато створення моноблочної пересувної компресорної азотної установки на поршневій базі. Кошторисна вартість проекту становить 5,6 млн. гривень (за 2016 рік освоєно 4,9 млн. грн.).</w:t>
      </w:r>
    </w:p>
    <w:p w:rsidR="0034705C" w:rsidRPr="0096294B" w:rsidRDefault="0034705C" w:rsidP="0034705C">
      <w:pPr>
        <w:ind w:firstLine="708"/>
        <w:jc w:val="both"/>
        <w:rPr>
          <w:sz w:val="28"/>
          <w:szCs w:val="28"/>
          <w:lang w:val="uk-UA"/>
        </w:rPr>
      </w:pPr>
      <w:r w:rsidRPr="0096294B">
        <w:rPr>
          <w:sz w:val="28"/>
          <w:szCs w:val="28"/>
          <w:lang w:val="uk-UA"/>
        </w:rPr>
        <w:t>АТ «Технологія» з метою розширення виробництва придбано обладнання та вантажний транспорт на суму 157,5 млн. грн.</w:t>
      </w:r>
    </w:p>
    <w:p w:rsidR="0034705C" w:rsidRPr="0096294B" w:rsidRDefault="0034705C" w:rsidP="0034705C">
      <w:pPr>
        <w:ind w:firstLine="708"/>
        <w:jc w:val="both"/>
        <w:rPr>
          <w:sz w:val="28"/>
          <w:szCs w:val="28"/>
          <w:lang w:val="uk-UA"/>
        </w:rPr>
      </w:pPr>
      <w:r w:rsidRPr="0096294B">
        <w:rPr>
          <w:sz w:val="28"/>
          <w:szCs w:val="28"/>
          <w:lang w:val="uk-UA"/>
        </w:rPr>
        <w:t xml:space="preserve">У 2016 році усіма видами </w:t>
      </w:r>
      <w:r w:rsidRPr="0096294B">
        <w:rPr>
          <w:b/>
          <w:sz w:val="28"/>
          <w:szCs w:val="28"/>
          <w:lang w:val="uk-UA"/>
        </w:rPr>
        <w:t xml:space="preserve">транспорту </w:t>
      </w:r>
      <w:r w:rsidRPr="0096294B">
        <w:rPr>
          <w:sz w:val="28"/>
          <w:szCs w:val="28"/>
          <w:lang w:val="uk-UA"/>
        </w:rPr>
        <w:t xml:space="preserve">перевезено 59,7 млн. пас. та виконано пасажирооборот в обсязі 1,3 млрд. </w:t>
      </w:r>
      <w:proofErr w:type="spellStart"/>
      <w:r w:rsidRPr="0096294B">
        <w:rPr>
          <w:sz w:val="28"/>
          <w:szCs w:val="28"/>
          <w:lang w:val="uk-UA"/>
        </w:rPr>
        <w:t>пас.км</w:t>
      </w:r>
      <w:proofErr w:type="spellEnd"/>
      <w:r w:rsidRPr="0096294B">
        <w:rPr>
          <w:sz w:val="28"/>
          <w:szCs w:val="28"/>
          <w:lang w:val="uk-UA"/>
        </w:rPr>
        <w:t xml:space="preserve">. Порівняно з 2015 роком перевезення пасажирів скоротилися на 7,6%, а пасажирооборот збільшився на 4,6 відсотків. Також спостерігається зменшення кількості перевезених пасажирів міським електротранспортом порівняно з 2015 роком на 14,9%, що пояснюється зменшенням випуску рухомого складу на лінію на (6,1%) в зв’язку з недостатньою кількістю власних обігових коштів на виконання ремонтів. Відбулось зменшення перевезення пасажирів автобусами – на 3,8 </w:t>
      </w:r>
      <w:r w:rsidRPr="0096294B">
        <w:rPr>
          <w:sz w:val="28"/>
          <w:szCs w:val="28"/>
          <w:lang w:val="uk-UA"/>
        </w:rPr>
        <w:lastRenderedPageBreak/>
        <w:t xml:space="preserve">відсотків. За кошти міського бюджету було придбано 8 автобусів середньої місткості на суму 13,1 млн. грн. та </w:t>
      </w:r>
      <w:proofErr w:type="spellStart"/>
      <w:r w:rsidRPr="0096294B">
        <w:rPr>
          <w:sz w:val="28"/>
          <w:szCs w:val="28"/>
          <w:lang w:val="uk-UA"/>
        </w:rPr>
        <w:t>капітально</w:t>
      </w:r>
      <w:proofErr w:type="spellEnd"/>
      <w:r w:rsidRPr="0096294B">
        <w:rPr>
          <w:sz w:val="28"/>
          <w:szCs w:val="28"/>
          <w:lang w:val="uk-UA"/>
        </w:rPr>
        <w:t xml:space="preserve"> відремонтовано 1 тролейбус. Для забезпечення стабільної роботи КП СМР «</w:t>
      </w:r>
      <w:proofErr w:type="spellStart"/>
      <w:r w:rsidRPr="0096294B">
        <w:rPr>
          <w:sz w:val="28"/>
          <w:szCs w:val="28"/>
          <w:lang w:val="uk-UA"/>
        </w:rPr>
        <w:t>Електроавтотранс</w:t>
      </w:r>
      <w:proofErr w:type="spellEnd"/>
      <w:r w:rsidRPr="0096294B">
        <w:rPr>
          <w:sz w:val="28"/>
          <w:szCs w:val="28"/>
          <w:lang w:val="uk-UA"/>
        </w:rPr>
        <w:t xml:space="preserve">» в умовах відсутності субвенції з державного бюджету на компенсаційні виплати за пільговий проїзд, за рахунок коштів міського бюджету здійснено фінансову підтримку в сумі 13,8 млн. грн. та з червня відшкодування вартості пільгових перевезень - 13,6 млн. грн.  Також з міського бюджету здійснено відшкодування між встановленими та економічно обґрунтованими тарифами в сумі 4,9 млн. гривень.  </w:t>
      </w:r>
    </w:p>
    <w:p w:rsidR="0034705C" w:rsidRPr="0096294B" w:rsidRDefault="0034705C" w:rsidP="0034705C">
      <w:pPr>
        <w:ind w:firstLine="708"/>
        <w:jc w:val="both"/>
        <w:rPr>
          <w:sz w:val="28"/>
          <w:szCs w:val="28"/>
          <w:lang w:val="uk-UA"/>
        </w:rPr>
      </w:pPr>
      <w:r w:rsidRPr="0096294B">
        <w:rPr>
          <w:sz w:val="28"/>
          <w:szCs w:val="28"/>
          <w:lang w:val="uk-UA"/>
        </w:rPr>
        <w:t xml:space="preserve">Проводилась робота щодо підвищення </w:t>
      </w:r>
      <w:r w:rsidRPr="0096294B">
        <w:rPr>
          <w:b/>
          <w:sz w:val="28"/>
          <w:szCs w:val="28"/>
          <w:lang w:val="uk-UA"/>
        </w:rPr>
        <w:t>іміджу міста та сприяння залученню інвестицій</w:t>
      </w:r>
      <w:r w:rsidRPr="0096294B">
        <w:rPr>
          <w:sz w:val="28"/>
          <w:szCs w:val="28"/>
          <w:lang w:val="uk-UA"/>
        </w:rPr>
        <w:t xml:space="preserve">. </w:t>
      </w:r>
    </w:p>
    <w:p w:rsidR="0034705C" w:rsidRPr="0096294B" w:rsidRDefault="0034705C" w:rsidP="0034705C">
      <w:pPr>
        <w:ind w:right="98" w:firstLine="708"/>
        <w:jc w:val="both"/>
        <w:rPr>
          <w:sz w:val="28"/>
          <w:szCs w:val="28"/>
          <w:lang w:val="uk-UA"/>
        </w:rPr>
      </w:pPr>
      <w:r w:rsidRPr="0096294B">
        <w:rPr>
          <w:sz w:val="28"/>
          <w:szCs w:val="28"/>
          <w:lang w:val="uk-UA"/>
        </w:rPr>
        <w:t xml:space="preserve">Вплив зовнішньоекономічної та політичної ситуації позначився на обсягах </w:t>
      </w:r>
      <w:r w:rsidRPr="0096294B">
        <w:rPr>
          <w:b/>
          <w:sz w:val="28"/>
          <w:szCs w:val="28"/>
          <w:lang w:val="uk-UA"/>
        </w:rPr>
        <w:t>іноземних інвестицій</w:t>
      </w:r>
      <w:r w:rsidRPr="0096294B">
        <w:rPr>
          <w:b/>
          <w:bCs/>
          <w:sz w:val="28"/>
          <w:szCs w:val="28"/>
          <w:lang w:val="uk-UA"/>
        </w:rPr>
        <w:t xml:space="preserve">. </w:t>
      </w:r>
      <w:r w:rsidRPr="0096294B">
        <w:rPr>
          <w:sz w:val="28"/>
          <w:szCs w:val="28"/>
          <w:lang w:val="uk-UA"/>
        </w:rPr>
        <w:t xml:space="preserve">Обсяг  прямих іноземних інвестицій в економіку міста Суми у січні-вересні склав 107,9 млн. </w:t>
      </w:r>
      <w:proofErr w:type="spellStart"/>
      <w:r w:rsidRPr="0096294B">
        <w:rPr>
          <w:sz w:val="28"/>
          <w:szCs w:val="28"/>
          <w:lang w:val="uk-UA"/>
        </w:rPr>
        <w:t>дол</w:t>
      </w:r>
      <w:proofErr w:type="spellEnd"/>
      <w:r w:rsidRPr="0096294B">
        <w:rPr>
          <w:sz w:val="28"/>
          <w:szCs w:val="28"/>
          <w:lang w:val="uk-UA"/>
        </w:rPr>
        <w:t xml:space="preserve">. США, що на 5,9 млн. </w:t>
      </w:r>
      <w:proofErr w:type="spellStart"/>
      <w:r w:rsidRPr="0096294B">
        <w:rPr>
          <w:sz w:val="28"/>
          <w:szCs w:val="28"/>
          <w:lang w:val="uk-UA"/>
        </w:rPr>
        <w:t>дол</w:t>
      </w:r>
      <w:proofErr w:type="spellEnd"/>
      <w:r w:rsidRPr="0096294B">
        <w:rPr>
          <w:sz w:val="28"/>
          <w:szCs w:val="28"/>
          <w:lang w:val="uk-UA"/>
        </w:rPr>
        <w:t xml:space="preserve">. США (на 5,2%) менше обсягу залучених іноземних інвестицій станом на 01.01.2016 (113,8 </w:t>
      </w:r>
      <w:proofErr w:type="spellStart"/>
      <w:r w:rsidRPr="0096294B">
        <w:rPr>
          <w:sz w:val="28"/>
          <w:szCs w:val="28"/>
          <w:lang w:val="uk-UA"/>
        </w:rPr>
        <w:t>млн.дол</w:t>
      </w:r>
      <w:proofErr w:type="spellEnd"/>
      <w:r w:rsidRPr="0096294B">
        <w:rPr>
          <w:sz w:val="28"/>
          <w:szCs w:val="28"/>
          <w:lang w:val="uk-UA"/>
        </w:rPr>
        <w:t>. США). В загальному обсязі по області обсяг прямих іноземних інвестицій в економіку міста Суми складає 55,1 відсотка.</w:t>
      </w:r>
    </w:p>
    <w:p w:rsidR="0034705C" w:rsidRPr="0096294B" w:rsidRDefault="0034705C" w:rsidP="0034705C">
      <w:pPr>
        <w:ind w:firstLine="709"/>
        <w:jc w:val="both"/>
        <w:rPr>
          <w:bCs/>
          <w:sz w:val="28"/>
          <w:szCs w:val="28"/>
          <w:lang w:val="uk-UA"/>
        </w:rPr>
      </w:pPr>
      <w:r w:rsidRPr="0096294B">
        <w:rPr>
          <w:bCs/>
          <w:sz w:val="28"/>
          <w:szCs w:val="28"/>
          <w:lang w:val="uk-UA"/>
        </w:rPr>
        <w:t xml:space="preserve">Загальний обсяг капітальних інвестицій у січні-вересні 2016 року склав 1,3 </w:t>
      </w:r>
      <w:proofErr w:type="spellStart"/>
      <w:r w:rsidRPr="0096294B">
        <w:rPr>
          <w:bCs/>
          <w:sz w:val="28"/>
          <w:szCs w:val="28"/>
          <w:lang w:val="uk-UA"/>
        </w:rPr>
        <w:t>млдр</w:t>
      </w:r>
      <w:proofErr w:type="spellEnd"/>
      <w:r w:rsidRPr="0096294B">
        <w:rPr>
          <w:bCs/>
          <w:sz w:val="28"/>
          <w:szCs w:val="28"/>
          <w:lang w:val="uk-UA"/>
        </w:rPr>
        <w:t>. грн., що на 45,4% більше відповідного періоду 2015 року. Головним джерелом фінансування виступали власні кошти підприємств та організацій, питома вага яких становила 57,5% обсягу. За рахунок кредитів банків та інших позик освоєно 6,6% капітальних інвестицій. Кошти населення на будівництво житла склали 24,0 відсотка. Кошти державного та місцевих бюджетів були незначними (1,4% та 10,2% відповідно).</w:t>
      </w:r>
    </w:p>
    <w:p w:rsidR="0034705C" w:rsidRPr="0096294B" w:rsidRDefault="0034705C" w:rsidP="0034705C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96294B">
        <w:rPr>
          <w:sz w:val="28"/>
          <w:szCs w:val="28"/>
          <w:lang w:val="uk-UA"/>
        </w:rPr>
        <w:t xml:space="preserve">Завдяки досить стабільній роботі підприємств різних галузей економіки місто має високі соціально-економічні показники розвитку, про що свідчать присвоєні за підсумками І півріччя 2016 року рейтинг інвестиційної привабливості міста Суми на рівні </w:t>
      </w:r>
      <w:proofErr w:type="spellStart"/>
      <w:r w:rsidRPr="0096294B">
        <w:rPr>
          <w:sz w:val="28"/>
          <w:szCs w:val="28"/>
          <w:lang w:val="uk-UA"/>
        </w:rPr>
        <w:t>invA</w:t>
      </w:r>
      <w:proofErr w:type="spellEnd"/>
      <w:r w:rsidRPr="0096294B">
        <w:rPr>
          <w:sz w:val="28"/>
          <w:szCs w:val="28"/>
          <w:lang w:val="uk-UA"/>
        </w:rPr>
        <w:t>- (висока інвестиційна привабливість), кредитний рейтинг м. Суми та рейтинг боргового зобов’язання на рівні </w:t>
      </w:r>
      <w:proofErr w:type="spellStart"/>
      <w:r w:rsidRPr="0096294B">
        <w:rPr>
          <w:sz w:val="28"/>
          <w:szCs w:val="28"/>
          <w:lang w:val="uk-UA"/>
        </w:rPr>
        <w:t>uaА</w:t>
      </w:r>
      <w:proofErr w:type="spellEnd"/>
      <w:r w:rsidRPr="0096294B">
        <w:rPr>
          <w:sz w:val="28"/>
          <w:szCs w:val="28"/>
          <w:lang w:val="uk-UA"/>
        </w:rPr>
        <w:t xml:space="preserve">- з прогнозом «стабільний», що характеризується високою кредитоспроможністю порівняно з іншими українськими позичальниками або борговими інструментами. </w:t>
      </w:r>
    </w:p>
    <w:p w:rsidR="0034705C" w:rsidRPr="0096294B" w:rsidRDefault="0034705C" w:rsidP="0034705C">
      <w:pPr>
        <w:ind w:right="98" w:firstLine="708"/>
        <w:jc w:val="both"/>
        <w:rPr>
          <w:sz w:val="28"/>
          <w:szCs w:val="28"/>
          <w:lang w:val="uk-UA"/>
        </w:rPr>
      </w:pPr>
      <w:r w:rsidRPr="0096294B">
        <w:rPr>
          <w:sz w:val="28"/>
          <w:szCs w:val="28"/>
          <w:lang w:val="uk-UA"/>
        </w:rPr>
        <w:t xml:space="preserve">Одним із напрямів інвестиційної діяльності міста є залучення коштів з альтернативних джерел,  в тому числі за допомогою розробки проектів. </w:t>
      </w:r>
    </w:p>
    <w:p w:rsidR="0034705C" w:rsidRPr="0096294B" w:rsidRDefault="0034705C" w:rsidP="0034705C">
      <w:pPr>
        <w:ind w:firstLine="709"/>
        <w:jc w:val="both"/>
        <w:rPr>
          <w:sz w:val="28"/>
          <w:szCs w:val="28"/>
          <w:lang w:val="uk-UA"/>
        </w:rPr>
      </w:pPr>
      <w:r w:rsidRPr="0096294B">
        <w:rPr>
          <w:sz w:val="28"/>
          <w:szCs w:val="28"/>
          <w:lang w:val="uk-UA"/>
        </w:rPr>
        <w:t xml:space="preserve">Продовжується співпраця з Північною екологічною фінансовою корпорацією (НЕФКО) в рамках реалізації проекту «Покращення </w:t>
      </w:r>
      <w:proofErr w:type="spellStart"/>
      <w:r w:rsidRPr="0096294B">
        <w:rPr>
          <w:sz w:val="28"/>
          <w:szCs w:val="28"/>
          <w:lang w:val="uk-UA"/>
        </w:rPr>
        <w:t>енергофективності</w:t>
      </w:r>
      <w:proofErr w:type="spellEnd"/>
      <w:r w:rsidRPr="0096294B">
        <w:rPr>
          <w:sz w:val="28"/>
          <w:szCs w:val="28"/>
          <w:lang w:val="uk-UA"/>
        </w:rPr>
        <w:t xml:space="preserve"> в освітніх закладах м. Суми» за 3 закладами освіти   (ДНЗ №2, ДНЗ № 22 та ССШ № 29). У 2016 році отримано два транші кредиту НЕФКО на загальну суму 8,1 млн. гривень. </w:t>
      </w:r>
    </w:p>
    <w:p w:rsidR="0034705C" w:rsidRPr="0096294B" w:rsidRDefault="0034705C" w:rsidP="0034705C">
      <w:pPr>
        <w:ind w:firstLine="709"/>
        <w:jc w:val="both"/>
        <w:rPr>
          <w:sz w:val="28"/>
          <w:szCs w:val="28"/>
          <w:lang w:val="uk-UA"/>
        </w:rPr>
      </w:pPr>
      <w:r w:rsidRPr="0096294B">
        <w:rPr>
          <w:sz w:val="28"/>
          <w:szCs w:val="28"/>
          <w:lang w:val="uk-UA"/>
        </w:rPr>
        <w:t>З метою залучення кредитних коштів Європейського інвестиційного банку для реалізації проектів «Оновлення рухомого складу КП «</w:t>
      </w:r>
      <w:proofErr w:type="spellStart"/>
      <w:r w:rsidRPr="0096294B">
        <w:rPr>
          <w:sz w:val="28"/>
          <w:szCs w:val="28"/>
          <w:lang w:val="uk-UA"/>
        </w:rPr>
        <w:t>Електроавтотранс</w:t>
      </w:r>
      <w:proofErr w:type="spellEnd"/>
      <w:r w:rsidRPr="0096294B">
        <w:rPr>
          <w:sz w:val="28"/>
          <w:szCs w:val="28"/>
          <w:lang w:val="uk-UA"/>
        </w:rPr>
        <w:t xml:space="preserve">» в м. Суми» (22 одиниці) та «Підвищення енергоефективності в дошкільних навчальних закладах міста Суми» (33 будівлі) підготовлено та направлено пакети документів до Міністерства </w:t>
      </w:r>
      <w:r w:rsidRPr="0096294B">
        <w:rPr>
          <w:sz w:val="28"/>
          <w:szCs w:val="28"/>
          <w:lang w:val="uk-UA"/>
        </w:rPr>
        <w:lastRenderedPageBreak/>
        <w:t xml:space="preserve">фінансів України для проведення оцінки фінансового стану кінцевого </w:t>
      </w:r>
      <w:proofErr w:type="spellStart"/>
      <w:r w:rsidRPr="0096294B">
        <w:rPr>
          <w:sz w:val="28"/>
          <w:szCs w:val="28"/>
          <w:lang w:val="uk-UA"/>
        </w:rPr>
        <w:t>бенефіціара</w:t>
      </w:r>
      <w:proofErr w:type="spellEnd"/>
      <w:r w:rsidRPr="0096294B">
        <w:rPr>
          <w:sz w:val="28"/>
          <w:szCs w:val="28"/>
          <w:lang w:val="uk-UA"/>
        </w:rPr>
        <w:t xml:space="preserve"> (очікуються результати розгляду документів Мінфіном). </w:t>
      </w:r>
    </w:p>
    <w:p w:rsidR="0034705C" w:rsidRPr="0096294B" w:rsidRDefault="0034705C" w:rsidP="0034705C">
      <w:pPr>
        <w:ind w:firstLine="709"/>
        <w:jc w:val="both"/>
        <w:rPr>
          <w:sz w:val="28"/>
          <w:szCs w:val="28"/>
          <w:lang w:val="uk-UA"/>
        </w:rPr>
      </w:pPr>
      <w:r w:rsidRPr="0096294B">
        <w:rPr>
          <w:sz w:val="28"/>
          <w:szCs w:val="28"/>
          <w:lang w:val="uk-UA"/>
        </w:rPr>
        <w:t>Завдяки участі Сумської міської ради у проекті USAID «Муніципальна енергетична реформа»</w:t>
      </w:r>
      <w:r w:rsidRPr="0096294B">
        <w:rPr>
          <w:b/>
          <w:sz w:val="28"/>
          <w:szCs w:val="28"/>
          <w:lang w:val="uk-UA"/>
        </w:rPr>
        <w:t xml:space="preserve">, </w:t>
      </w:r>
      <w:r w:rsidRPr="0096294B">
        <w:rPr>
          <w:sz w:val="28"/>
          <w:szCs w:val="28"/>
          <w:lang w:val="uk-UA"/>
        </w:rPr>
        <w:t>місто отримало допомогу в:</w:t>
      </w:r>
    </w:p>
    <w:p w:rsidR="0034705C" w:rsidRPr="0096294B" w:rsidRDefault="0034705C" w:rsidP="0034705C">
      <w:pPr>
        <w:ind w:firstLine="709"/>
        <w:jc w:val="both"/>
        <w:rPr>
          <w:sz w:val="28"/>
          <w:szCs w:val="28"/>
          <w:lang w:val="uk-UA"/>
        </w:rPr>
      </w:pPr>
      <w:r w:rsidRPr="0096294B">
        <w:rPr>
          <w:sz w:val="28"/>
          <w:szCs w:val="28"/>
          <w:lang w:val="uk-UA"/>
        </w:rPr>
        <w:t xml:space="preserve">- розробці Плану дій сталого енергетичного розвитку, попередніх техніко-економічних обґрунтуваннях проектів «Будівництво міні-ТЕЦ на твердих побутових відходах в місті Суми», «Підвищення енергоефективності в дошкільних навчальних закладах міста Суми» (33 будівлі); </w:t>
      </w:r>
    </w:p>
    <w:p w:rsidR="0034705C" w:rsidRPr="0096294B" w:rsidRDefault="0034705C" w:rsidP="0034705C">
      <w:pPr>
        <w:ind w:firstLine="709"/>
        <w:jc w:val="both"/>
        <w:rPr>
          <w:sz w:val="28"/>
          <w:szCs w:val="28"/>
          <w:lang w:val="uk-UA"/>
        </w:rPr>
      </w:pPr>
      <w:r w:rsidRPr="0096294B">
        <w:rPr>
          <w:sz w:val="28"/>
          <w:szCs w:val="28"/>
          <w:lang w:val="uk-UA"/>
        </w:rPr>
        <w:t xml:space="preserve">- проведенні експрес-обстежень обладнання в теплових пунктах 9 закладів освіти та отриманні рекомендацій щодо покращення роботи системи теплопостачання; </w:t>
      </w:r>
    </w:p>
    <w:p w:rsidR="0034705C" w:rsidRPr="0096294B" w:rsidRDefault="0034705C" w:rsidP="0034705C">
      <w:pPr>
        <w:ind w:firstLine="709"/>
        <w:jc w:val="both"/>
        <w:rPr>
          <w:sz w:val="28"/>
          <w:szCs w:val="28"/>
          <w:lang w:val="uk-UA"/>
        </w:rPr>
      </w:pPr>
      <w:r w:rsidRPr="0096294B">
        <w:rPr>
          <w:sz w:val="28"/>
          <w:szCs w:val="28"/>
          <w:lang w:val="uk-UA"/>
        </w:rPr>
        <w:t xml:space="preserve">- проведенні </w:t>
      </w:r>
      <w:proofErr w:type="spellStart"/>
      <w:r w:rsidRPr="0096294B">
        <w:rPr>
          <w:sz w:val="28"/>
          <w:szCs w:val="28"/>
          <w:lang w:val="uk-UA"/>
        </w:rPr>
        <w:t>енергоаудитів</w:t>
      </w:r>
      <w:proofErr w:type="spellEnd"/>
      <w:r w:rsidRPr="0096294B">
        <w:rPr>
          <w:sz w:val="28"/>
          <w:szCs w:val="28"/>
          <w:lang w:val="uk-UA"/>
        </w:rPr>
        <w:t xml:space="preserve"> в 33 дошкільними навчальними закладами м. Суми;</w:t>
      </w:r>
    </w:p>
    <w:p w:rsidR="0034705C" w:rsidRPr="0096294B" w:rsidRDefault="0034705C" w:rsidP="0034705C">
      <w:pPr>
        <w:ind w:firstLine="709"/>
        <w:jc w:val="both"/>
        <w:rPr>
          <w:sz w:val="28"/>
          <w:szCs w:val="28"/>
          <w:lang w:val="uk-UA"/>
        </w:rPr>
      </w:pPr>
      <w:r w:rsidRPr="0096294B">
        <w:rPr>
          <w:sz w:val="28"/>
          <w:szCs w:val="28"/>
          <w:lang w:val="uk-UA"/>
        </w:rPr>
        <w:t xml:space="preserve">- підготовці технічного завдання на розробку оптимізованої схеми теплопостачання м. Суми до 2021 року. </w:t>
      </w:r>
    </w:p>
    <w:p w:rsidR="0034705C" w:rsidRPr="0096294B" w:rsidRDefault="0034705C" w:rsidP="0034705C">
      <w:pPr>
        <w:ind w:firstLine="709"/>
        <w:jc w:val="both"/>
        <w:rPr>
          <w:sz w:val="28"/>
          <w:szCs w:val="28"/>
          <w:lang w:val="uk-UA"/>
        </w:rPr>
      </w:pPr>
      <w:r w:rsidRPr="0096294B">
        <w:rPr>
          <w:sz w:val="28"/>
          <w:szCs w:val="28"/>
          <w:lang w:val="uk-UA"/>
        </w:rPr>
        <w:t xml:space="preserve">Сумська міська рада подала відповідну заявку та успішно пройшла </w:t>
      </w:r>
      <w:proofErr w:type="spellStart"/>
      <w:r w:rsidRPr="0096294B">
        <w:rPr>
          <w:sz w:val="28"/>
          <w:szCs w:val="28"/>
          <w:lang w:val="uk-UA"/>
        </w:rPr>
        <w:t>відбор</w:t>
      </w:r>
      <w:proofErr w:type="spellEnd"/>
      <w:r w:rsidRPr="0096294B">
        <w:rPr>
          <w:sz w:val="28"/>
          <w:szCs w:val="28"/>
          <w:lang w:val="uk-UA"/>
        </w:rPr>
        <w:t xml:space="preserve"> міст-партнерів для участі в проекті «Партнерство з модернізації: енергоефективність у лікарнях», що організований Німецьким товариством з міжнародного співробітництва (GIZ) і має на меті істотно поліпшити енергетичну ситуацію в українських лікарнях. </w:t>
      </w:r>
    </w:p>
    <w:p w:rsidR="0034705C" w:rsidRPr="0096294B" w:rsidRDefault="0034705C" w:rsidP="0034705C">
      <w:pPr>
        <w:ind w:firstLine="708"/>
        <w:jc w:val="both"/>
        <w:rPr>
          <w:sz w:val="28"/>
          <w:szCs w:val="28"/>
          <w:lang w:val="uk-UA"/>
        </w:rPr>
      </w:pPr>
      <w:r w:rsidRPr="0096294B">
        <w:rPr>
          <w:sz w:val="28"/>
          <w:szCs w:val="28"/>
          <w:lang w:val="uk-UA"/>
        </w:rPr>
        <w:t xml:space="preserve">За результатами проведеної роботи щодо можливості реалізації спільних проектів з містом-побратимом </w:t>
      </w:r>
      <w:proofErr w:type="spellStart"/>
      <w:r w:rsidRPr="0096294B">
        <w:rPr>
          <w:sz w:val="28"/>
          <w:szCs w:val="28"/>
          <w:lang w:val="uk-UA"/>
        </w:rPr>
        <w:t>Целлє</w:t>
      </w:r>
      <w:proofErr w:type="spellEnd"/>
      <w:r w:rsidRPr="0096294B">
        <w:rPr>
          <w:sz w:val="28"/>
          <w:szCs w:val="28"/>
          <w:lang w:val="uk-UA"/>
        </w:rPr>
        <w:t xml:space="preserve"> (Німеччина ) в рамках програми SES (Служба старших експертів) досягнути попередні домовленості про залучення іноземного експерта-консультанта для проведення практичних занять, семінарів, та майстер-класів з приготування страв на базі Державного навчального закладу  «Сумський центр професійно-технічної освіти харчових технологій, торгівлі та ресторанного сервісу» </w:t>
      </w:r>
    </w:p>
    <w:p w:rsidR="0034705C" w:rsidRPr="0096294B" w:rsidRDefault="0034705C" w:rsidP="0034705C">
      <w:pPr>
        <w:ind w:firstLine="708"/>
        <w:jc w:val="both"/>
        <w:rPr>
          <w:sz w:val="28"/>
          <w:szCs w:val="28"/>
          <w:lang w:val="uk-UA"/>
        </w:rPr>
      </w:pPr>
      <w:r w:rsidRPr="0096294B">
        <w:rPr>
          <w:sz w:val="28"/>
          <w:szCs w:val="28"/>
          <w:lang w:val="uk-UA"/>
        </w:rPr>
        <w:t xml:space="preserve">Оновлено інформацію та </w:t>
      </w:r>
      <w:proofErr w:type="spellStart"/>
      <w:r w:rsidRPr="0096294B">
        <w:rPr>
          <w:sz w:val="28"/>
          <w:szCs w:val="28"/>
          <w:lang w:val="uk-UA"/>
        </w:rPr>
        <w:t>інфографіку</w:t>
      </w:r>
      <w:proofErr w:type="spellEnd"/>
      <w:r w:rsidRPr="0096294B">
        <w:rPr>
          <w:sz w:val="28"/>
          <w:szCs w:val="28"/>
          <w:lang w:val="uk-UA"/>
        </w:rPr>
        <w:t xml:space="preserve"> в Інвестиційному паспорті  м. Суми, </w:t>
      </w:r>
      <w:proofErr w:type="spellStart"/>
      <w:r w:rsidRPr="0096294B">
        <w:rPr>
          <w:sz w:val="28"/>
          <w:szCs w:val="28"/>
          <w:lang w:val="uk-UA"/>
        </w:rPr>
        <w:t>роздруковано</w:t>
      </w:r>
      <w:proofErr w:type="spellEnd"/>
      <w:r w:rsidRPr="0096294B">
        <w:rPr>
          <w:sz w:val="28"/>
          <w:szCs w:val="28"/>
          <w:lang w:val="uk-UA"/>
        </w:rPr>
        <w:t xml:space="preserve"> 100 примірників.  </w:t>
      </w:r>
    </w:p>
    <w:p w:rsidR="0034705C" w:rsidRPr="0096294B" w:rsidRDefault="0034705C" w:rsidP="0034705C">
      <w:pPr>
        <w:ind w:firstLine="708"/>
        <w:jc w:val="both"/>
        <w:rPr>
          <w:bCs/>
          <w:sz w:val="28"/>
          <w:szCs w:val="28"/>
          <w:lang w:val="uk-UA"/>
        </w:rPr>
      </w:pPr>
      <w:r w:rsidRPr="0096294B">
        <w:rPr>
          <w:sz w:val="28"/>
          <w:szCs w:val="28"/>
          <w:lang w:val="uk-UA"/>
        </w:rPr>
        <w:t xml:space="preserve">У галузі </w:t>
      </w:r>
      <w:r w:rsidRPr="0096294B">
        <w:rPr>
          <w:b/>
          <w:sz w:val="28"/>
          <w:szCs w:val="28"/>
          <w:lang w:val="uk-UA"/>
        </w:rPr>
        <w:t>будівництва</w:t>
      </w:r>
      <w:r w:rsidRPr="0096294B">
        <w:rPr>
          <w:sz w:val="28"/>
          <w:szCs w:val="28"/>
          <w:lang w:val="uk-UA"/>
        </w:rPr>
        <w:t xml:space="preserve"> у 2016 році виконано будівельних робіт на суму 744,1 млн. гривень </w:t>
      </w:r>
      <w:r w:rsidRPr="0096294B">
        <w:rPr>
          <w:bCs/>
          <w:sz w:val="28"/>
          <w:szCs w:val="28"/>
          <w:lang w:val="uk-UA"/>
        </w:rPr>
        <w:t>(122% планового завдання на рік – 610,0 млн. грн.)</w:t>
      </w:r>
      <w:r w:rsidRPr="0096294B">
        <w:rPr>
          <w:sz w:val="28"/>
          <w:szCs w:val="28"/>
          <w:lang w:val="uk-UA"/>
        </w:rPr>
        <w:t>, тобто на 31,2% більше 2015 року (567,3 млн. грн.)</w:t>
      </w:r>
      <w:r w:rsidRPr="0096294B">
        <w:rPr>
          <w:bCs/>
          <w:sz w:val="28"/>
          <w:szCs w:val="28"/>
          <w:lang w:val="uk-UA"/>
        </w:rPr>
        <w:t>. Будівельними підприємствами міста виконано 69,2% загальнообласного обсягу робіт.</w:t>
      </w:r>
    </w:p>
    <w:p w:rsidR="0034705C" w:rsidRPr="0096294B" w:rsidRDefault="0034705C" w:rsidP="0034705C">
      <w:pPr>
        <w:ind w:firstLine="708"/>
        <w:jc w:val="both"/>
        <w:rPr>
          <w:sz w:val="28"/>
          <w:szCs w:val="28"/>
          <w:lang w:val="uk-UA"/>
        </w:rPr>
      </w:pPr>
      <w:r w:rsidRPr="0096294B">
        <w:rPr>
          <w:sz w:val="28"/>
          <w:szCs w:val="28"/>
          <w:lang w:val="uk-UA"/>
        </w:rPr>
        <w:t xml:space="preserve">У січні-вересні 2016 року прийнято в експлуатацію 34,6 </w:t>
      </w:r>
      <w:proofErr w:type="spellStart"/>
      <w:r w:rsidRPr="0096294B">
        <w:rPr>
          <w:sz w:val="28"/>
          <w:szCs w:val="28"/>
          <w:lang w:val="uk-UA"/>
        </w:rPr>
        <w:t>тис.кв.м</w:t>
      </w:r>
      <w:proofErr w:type="spellEnd"/>
      <w:r w:rsidRPr="0096294B">
        <w:rPr>
          <w:sz w:val="28"/>
          <w:szCs w:val="28"/>
          <w:lang w:val="uk-UA"/>
        </w:rPr>
        <w:t xml:space="preserve"> загальної площі житла, що на 47,6% менше порівняно з відповідним періодом 2015 року та  становить 52,4% загальнообласного показника </w:t>
      </w:r>
      <w:r w:rsidRPr="0096294B">
        <w:rPr>
          <w:bCs/>
          <w:sz w:val="28"/>
          <w:szCs w:val="28"/>
          <w:lang w:val="uk-UA"/>
        </w:rPr>
        <w:t xml:space="preserve">(при плановому завданні на рік – 100,0 </w:t>
      </w:r>
      <w:proofErr w:type="spellStart"/>
      <w:r w:rsidRPr="0096294B">
        <w:rPr>
          <w:bCs/>
          <w:sz w:val="28"/>
          <w:szCs w:val="28"/>
          <w:lang w:val="uk-UA"/>
        </w:rPr>
        <w:t>тис.кв.м</w:t>
      </w:r>
      <w:proofErr w:type="spellEnd"/>
      <w:r w:rsidRPr="0096294B">
        <w:rPr>
          <w:bCs/>
          <w:sz w:val="28"/>
          <w:szCs w:val="28"/>
          <w:lang w:val="uk-UA"/>
        </w:rPr>
        <w:t xml:space="preserve">). Зокрема, за підсумками 2016 року введено в експлуатацію по ТОВ «БВК компанія «Федорченко» - 20,3 тис. </w:t>
      </w:r>
      <w:proofErr w:type="spellStart"/>
      <w:r w:rsidRPr="0096294B">
        <w:rPr>
          <w:bCs/>
          <w:sz w:val="28"/>
          <w:szCs w:val="28"/>
          <w:lang w:val="uk-UA"/>
        </w:rPr>
        <w:t>кв.м</w:t>
      </w:r>
      <w:proofErr w:type="spellEnd"/>
      <w:r w:rsidRPr="0096294B">
        <w:rPr>
          <w:bCs/>
          <w:sz w:val="28"/>
          <w:szCs w:val="28"/>
          <w:lang w:val="uk-UA"/>
        </w:rPr>
        <w:t>, або 57,5% планового завдання (35,3),  ПАТ «</w:t>
      </w:r>
      <w:proofErr w:type="spellStart"/>
      <w:r w:rsidRPr="0096294B">
        <w:rPr>
          <w:bCs/>
          <w:sz w:val="28"/>
          <w:szCs w:val="28"/>
          <w:lang w:val="uk-UA"/>
        </w:rPr>
        <w:t>Сумбуд</w:t>
      </w:r>
      <w:proofErr w:type="spellEnd"/>
      <w:r w:rsidRPr="0096294B">
        <w:rPr>
          <w:bCs/>
          <w:sz w:val="28"/>
          <w:szCs w:val="28"/>
          <w:lang w:val="uk-UA"/>
        </w:rPr>
        <w:t>» - 4,2 тис. </w:t>
      </w:r>
      <w:proofErr w:type="spellStart"/>
      <w:r w:rsidRPr="0096294B">
        <w:rPr>
          <w:bCs/>
          <w:sz w:val="28"/>
          <w:szCs w:val="28"/>
          <w:lang w:val="uk-UA"/>
        </w:rPr>
        <w:t>кв.м</w:t>
      </w:r>
      <w:proofErr w:type="spellEnd"/>
      <w:r w:rsidRPr="0096294B">
        <w:rPr>
          <w:bCs/>
          <w:sz w:val="28"/>
          <w:szCs w:val="28"/>
          <w:lang w:val="uk-UA"/>
        </w:rPr>
        <w:t>, або 17,0% планового завдання (24,7).  Основними причинами недовиконання планових завдань є несплата внесків пайової участі при введенні об’єктів,  затримка в оформленні декларацій до готовності об’єктів.</w:t>
      </w:r>
    </w:p>
    <w:p w:rsidR="0034705C" w:rsidRPr="0096294B" w:rsidRDefault="0034705C" w:rsidP="0034705C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96294B">
        <w:rPr>
          <w:sz w:val="28"/>
          <w:szCs w:val="28"/>
          <w:lang w:val="uk-UA"/>
        </w:rPr>
        <w:t xml:space="preserve">На надання пільгових довгострокових кредитів громадянам на будівництво (реконструкцію) та придбання житла та витрати, пов’язані з їх </w:t>
      </w:r>
      <w:r w:rsidRPr="0096294B">
        <w:rPr>
          <w:sz w:val="28"/>
          <w:szCs w:val="28"/>
          <w:lang w:val="uk-UA"/>
        </w:rPr>
        <w:lastRenderedPageBreak/>
        <w:t xml:space="preserve">наданням та обслуговуванням використано коштів міського бюджету 2,1 млн. гривень. Придбано 5 квартир загальною площею 353,7 </w:t>
      </w:r>
      <w:proofErr w:type="spellStart"/>
      <w:r w:rsidRPr="0096294B">
        <w:rPr>
          <w:sz w:val="28"/>
          <w:szCs w:val="28"/>
          <w:lang w:val="uk-UA"/>
        </w:rPr>
        <w:t>кв.м</w:t>
      </w:r>
      <w:proofErr w:type="spellEnd"/>
      <w:r w:rsidRPr="0096294B">
        <w:rPr>
          <w:sz w:val="28"/>
          <w:szCs w:val="28"/>
          <w:lang w:val="uk-UA"/>
        </w:rPr>
        <w:t>.</w:t>
      </w:r>
    </w:p>
    <w:p w:rsidR="0034705C" w:rsidRPr="0096294B" w:rsidRDefault="0034705C" w:rsidP="0034705C">
      <w:pPr>
        <w:pStyle w:val="a3"/>
        <w:ind w:firstLine="720"/>
        <w:jc w:val="both"/>
        <w:rPr>
          <w:szCs w:val="28"/>
        </w:rPr>
      </w:pPr>
      <w:r w:rsidRPr="0096294B">
        <w:rPr>
          <w:szCs w:val="28"/>
        </w:rPr>
        <w:t>На житлове будівництво (придбання) житла для окремих категорій населення використано 3,8 млн. грн. за рахунок субвенцій з обласного та державного бюджетів, у тому числі була надана грошова компенсація 1 інваліду війни та 3 сім’ям загиблих у зоні АТО за належні їм для отримання жилі приміщення відповідно до постанови Кабінету Міністрів України від 19.10.2016 № 719 «Питання забезпечення житлом сімей загиблих військовослужбовців, які брали безпосередню участь в антитерористичній операції, а також інвалідів I-II групи з числа військовослужбовців, які брали участь у зазначеній операції, та потребують поліпшення житлових умов» на суму 3,3 млн. гривень.</w:t>
      </w:r>
    </w:p>
    <w:p w:rsidR="0034705C" w:rsidRPr="0096294B" w:rsidRDefault="0034705C" w:rsidP="0034705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96294B">
        <w:rPr>
          <w:bCs/>
          <w:sz w:val="28"/>
          <w:szCs w:val="28"/>
          <w:lang w:val="uk-UA"/>
        </w:rPr>
        <w:t xml:space="preserve">Протягом 2016 року </w:t>
      </w:r>
      <w:r w:rsidRPr="0096294B">
        <w:rPr>
          <w:sz w:val="28"/>
          <w:szCs w:val="28"/>
          <w:lang w:val="uk-UA"/>
        </w:rPr>
        <w:t>мережа підприємств торгівлі та побутового обслуговування населення поповнилась за рахунок відкриття та поновлення роботи 74 об’єктів роздрібної торгівлі (магазинів); 21 закладу ресторанного господарства та 5 підприємств по наданню побутових послуг населенню.   У той же час відбулось закриття 83 об’єктів роздрібної торгівлі, закладів ресторанного господарства та підприємств по наданню побутових послуг насе</w:t>
      </w:r>
      <w:r>
        <w:rPr>
          <w:sz w:val="28"/>
          <w:szCs w:val="28"/>
          <w:lang w:val="uk-UA"/>
        </w:rPr>
        <w:t>ленню.</w:t>
      </w:r>
    </w:p>
    <w:p w:rsidR="0034705C" w:rsidRPr="0096294B" w:rsidRDefault="0034705C" w:rsidP="0034705C">
      <w:pPr>
        <w:pStyle w:val="a6"/>
        <w:ind w:firstLine="567"/>
        <w:jc w:val="both"/>
        <w:rPr>
          <w:sz w:val="28"/>
          <w:szCs w:val="28"/>
        </w:rPr>
      </w:pPr>
      <w:r w:rsidRPr="0096294B">
        <w:rPr>
          <w:sz w:val="28"/>
          <w:szCs w:val="28"/>
        </w:rPr>
        <w:t xml:space="preserve">Обсяг </w:t>
      </w:r>
      <w:r w:rsidRPr="0096294B">
        <w:rPr>
          <w:b/>
          <w:sz w:val="28"/>
          <w:szCs w:val="28"/>
        </w:rPr>
        <w:t>роздрібного</w:t>
      </w:r>
      <w:r w:rsidRPr="0096294B">
        <w:rPr>
          <w:sz w:val="28"/>
          <w:szCs w:val="28"/>
        </w:rPr>
        <w:t xml:space="preserve"> </w:t>
      </w:r>
      <w:r w:rsidRPr="0096294B">
        <w:rPr>
          <w:b/>
          <w:sz w:val="28"/>
          <w:szCs w:val="28"/>
        </w:rPr>
        <w:t>товарообороту</w:t>
      </w:r>
      <w:r w:rsidRPr="0096294B">
        <w:rPr>
          <w:sz w:val="28"/>
          <w:szCs w:val="28"/>
        </w:rPr>
        <w:t xml:space="preserve"> підприємств, які здійснювали діяльність із роздрібної торгівлі у січні–вересні 2016 року складає  3,5 млрд. грн., або 104,7% до аналогічного періоду 2015 року у порівняних цінах (53,2% загальнообласного показника). У розрахунку на 1 особу показник складає 13,1 тис. грн., що у 2,2 рази більше середнього показника по області.</w:t>
      </w:r>
    </w:p>
    <w:p w:rsidR="0034705C" w:rsidRPr="0096294B" w:rsidRDefault="0034705C" w:rsidP="0034705C">
      <w:pPr>
        <w:ind w:firstLine="708"/>
        <w:jc w:val="both"/>
        <w:rPr>
          <w:sz w:val="28"/>
          <w:szCs w:val="28"/>
          <w:lang w:val="uk-UA"/>
        </w:rPr>
      </w:pPr>
      <w:r w:rsidRPr="0096294B">
        <w:rPr>
          <w:sz w:val="28"/>
          <w:szCs w:val="28"/>
          <w:lang w:val="uk-UA"/>
        </w:rPr>
        <w:t xml:space="preserve">Робота </w:t>
      </w:r>
      <w:r w:rsidRPr="0096294B">
        <w:rPr>
          <w:b/>
          <w:sz w:val="28"/>
          <w:szCs w:val="28"/>
          <w:lang w:val="uk-UA"/>
        </w:rPr>
        <w:t>житлово-комунального господарства міста</w:t>
      </w:r>
      <w:r w:rsidRPr="0096294B">
        <w:rPr>
          <w:sz w:val="28"/>
          <w:szCs w:val="28"/>
          <w:lang w:val="uk-UA"/>
        </w:rPr>
        <w:t xml:space="preserve"> забезпечувала першочергові потреби населення, підприємств та організацій міста необхідними послугами та продовжувала створювати умови щодо їх покращення. </w:t>
      </w:r>
    </w:p>
    <w:p w:rsidR="0034705C" w:rsidRPr="0096294B" w:rsidRDefault="0034705C" w:rsidP="0034705C">
      <w:pPr>
        <w:ind w:firstLine="700"/>
        <w:jc w:val="both"/>
        <w:rPr>
          <w:sz w:val="28"/>
          <w:szCs w:val="28"/>
          <w:lang w:val="uk-UA"/>
        </w:rPr>
      </w:pPr>
      <w:r w:rsidRPr="0096294B">
        <w:rPr>
          <w:sz w:val="28"/>
          <w:szCs w:val="28"/>
          <w:lang w:val="uk-UA"/>
        </w:rPr>
        <w:t>Станом на 01.01.2017 створено 203 об’єднань співвласників багатоквартирних будинків та 147 органів самоорганізації населення, в тому числі за 2016 рік – 44 об’єднань співвласників та 33 органів самоорганізації населення.</w:t>
      </w:r>
    </w:p>
    <w:p w:rsidR="0034705C" w:rsidRPr="0096294B" w:rsidRDefault="0034705C" w:rsidP="0034705C">
      <w:pPr>
        <w:ind w:firstLine="700"/>
        <w:jc w:val="both"/>
        <w:rPr>
          <w:sz w:val="28"/>
          <w:szCs w:val="28"/>
          <w:lang w:val="uk-UA"/>
        </w:rPr>
      </w:pPr>
      <w:r w:rsidRPr="0096294B">
        <w:rPr>
          <w:sz w:val="28"/>
          <w:szCs w:val="28"/>
          <w:lang w:val="uk-UA"/>
        </w:rPr>
        <w:t xml:space="preserve">З метою стимулювання населення міста Суми до впровадження енергоефективних та енергозберігаючих заходів у житлових будинках з міського бюджету проведено відшкодування частини відсотків за кредитами, залученими на заходи з енергозбереження, на суму  більш ніж 1,0 млн. грн. ( у </w:t>
      </w:r>
      <w:proofErr w:type="spellStart"/>
      <w:r w:rsidRPr="0096294B">
        <w:rPr>
          <w:sz w:val="28"/>
          <w:szCs w:val="28"/>
          <w:lang w:val="uk-UA"/>
        </w:rPr>
        <w:t>т.ч</w:t>
      </w:r>
      <w:proofErr w:type="spellEnd"/>
      <w:r w:rsidRPr="0096294B">
        <w:rPr>
          <w:sz w:val="28"/>
          <w:szCs w:val="28"/>
          <w:lang w:val="uk-UA"/>
        </w:rPr>
        <w:t xml:space="preserve">. </w:t>
      </w:r>
      <w:r w:rsidRPr="0096294B">
        <w:rPr>
          <w:sz w:val="28"/>
          <w:szCs w:val="28"/>
          <w:shd w:val="clear" w:color="auto" w:fill="FFFFFF"/>
          <w:lang w:val="uk-UA"/>
        </w:rPr>
        <w:t xml:space="preserve">2 350 фізичним особам  </w:t>
      </w:r>
      <w:r w:rsidRPr="0096294B">
        <w:rPr>
          <w:sz w:val="28"/>
          <w:szCs w:val="28"/>
          <w:lang w:val="uk-UA"/>
        </w:rPr>
        <w:t xml:space="preserve">та 4 ОСББ)  </w:t>
      </w:r>
    </w:p>
    <w:p w:rsidR="0034705C" w:rsidRPr="0096294B" w:rsidRDefault="0034705C" w:rsidP="0034705C">
      <w:pPr>
        <w:autoSpaceDE w:val="0"/>
        <w:autoSpaceDN w:val="0"/>
        <w:adjustRightInd w:val="0"/>
        <w:ind w:firstLine="561"/>
        <w:jc w:val="both"/>
        <w:rPr>
          <w:sz w:val="28"/>
          <w:szCs w:val="28"/>
          <w:lang w:val="uk-UA"/>
        </w:rPr>
      </w:pPr>
      <w:r w:rsidRPr="0096294B">
        <w:rPr>
          <w:b/>
          <w:sz w:val="28"/>
          <w:szCs w:val="28"/>
          <w:lang w:val="uk-UA"/>
        </w:rPr>
        <w:t>Середньомісячна заробітна плата</w:t>
      </w:r>
      <w:r w:rsidRPr="0096294B">
        <w:rPr>
          <w:sz w:val="28"/>
          <w:szCs w:val="28"/>
          <w:lang w:val="uk-UA"/>
        </w:rPr>
        <w:t xml:space="preserve"> одного штатного працівника за січень – вересень 2016 року склала 4379,0  грн., що на 18,1%  більше ніж за аналогічний період 2015 року (або 104,3% планового річного показника 2016 року (4200 грн.). </w:t>
      </w:r>
    </w:p>
    <w:p w:rsidR="0034705C" w:rsidRPr="0096294B" w:rsidRDefault="0034705C" w:rsidP="0034705C">
      <w:pPr>
        <w:autoSpaceDE w:val="0"/>
        <w:autoSpaceDN w:val="0"/>
        <w:adjustRightInd w:val="0"/>
        <w:ind w:firstLine="561"/>
        <w:jc w:val="both"/>
        <w:rPr>
          <w:sz w:val="28"/>
          <w:szCs w:val="28"/>
          <w:lang w:val="uk-UA"/>
        </w:rPr>
      </w:pPr>
      <w:r w:rsidRPr="0096294B">
        <w:rPr>
          <w:b/>
          <w:sz w:val="28"/>
          <w:szCs w:val="28"/>
          <w:lang w:val="uk-UA"/>
        </w:rPr>
        <w:t>Середньооблікова кількість штатних</w:t>
      </w:r>
      <w:r w:rsidRPr="0096294B">
        <w:rPr>
          <w:sz w:val="28"/>
          <w:szCs w:val="28"/>
          <w:lang w:val="uk-UA"/>
        </w:rPr>
        <w:t xml:space="preserve"> працівників у січні-вересні 2016 року склала 84,3 тис. осіб, тобто скоротилася у порівнянні з аналогічним періодом 2015 року на 0,1 тис. осіб (у порівнянні з кінцем 2015 року – </w:t>
      </w:r>
      <w:r w:rsidRPr="0096294B">
        <w:rPr>
          <w:sz w:val="28"/>
          <w:szCs w:val="28"/>
          <w:lang w:val="uk-UA"/>
        </w:rPr>
        <w:lastRenderedPageBreak/>
        <w:t xml:space="preserve">збільшилася 0,3 тис. осіб), або 100,5% планового річного показника 2016 року (83,9 тис. </w:t>
      </w:r>
      <w:proofErr w:type="spellStart"/>
      <w:r w:rsidRPr="0096294B">
        <w:rPr>
          <w:sz w:val="28"/>
          <w:szCs w:val="28"/>
          <w:lang w:val="uk-UA"/>
        </w:rPr>
        <w:t>чол</w:t>
      </w:r>
      <w:proofErr w:type="spellEnd"/>
      <w:r w:rsidRPr="0096294B">
        <w:rPr>
          <w:sz w:val="28"/>
          <w:szCs w:val="28"/>
          <w:lang w:val="uk-UA"/>
        </w:rPr>
        <w:t xml:space="preserve">.). </w:t>
      </w:r>
    </w:p>
    <w:p w:rsidR="0034705C" w:rsidRPr="0096294B" w:rsidRDefault="0034705C" w:rsidP="0034705C">
      <w:pPr>
        <w:ind w:firstLine="540"/>
        <w:jc w:val="both"/>
        <w:rPr>
          <w:sz w:val="28"/>
          <w:szCs w:val="28"/>
          <w:lang w:val="uk-UA"/>
        </w:rPr>
      </w:pPr>
      <w:r w:rsidRPr="0096294B">
        <w:rPr>
          <w:sz w:val="28"/>
          <w:szCs w:val="28"/>
          <w:lang w:val="uk-UA"/>
        </w:rPr>
        <w:t>Фонд оплати праці штатних працівників у січні-вересні 2016 року становив 3,3 млрд. грн., що на 17,7% більше ніж за аналогічний період 2015 року (2,8 млрд. гривень).</w:t>
      </w:r>
    </w:p>
    <w:p w:rsidR="0034705C" w:rsidRPr="0096294B" w:rsidRDefault="0034705C" w:rsidP="0034705C">
      <w:pPr>
        <w:ind w:firstLine="540"/>
        <w:jc w:val="both"/>
        <w:rPr>
          <w:sz w:val="28"/>
          <w:szCs w:val="28"/>
          <w:lang w:val="uk-UA"/>
        </w:rPr>
      </w:pPr>
      <w:r w:rsidRPr="0096294B">
        <w:rPr>
          <w:sz w:val="28"/>
          <w:szCs w:val="28"/>
          <w:lang w:val="uk-UA"/>
        </w:rPr>
        <w:t xml:space="preserve">Станом на 01.01.2017 існувала </w:t>
      </w:r>
      <w:r w:rsidRPr="0096294B">
        <w:rPr>
          <w:b/>
          <w:sz w:val="28"/>
          <w:szCs w:val="28"/>
          <w:lang w:val="uk-UA"/>
        </w:rPr>
        <w:t>заборгованість</w:t>
      </w:r>
      <w:r w:rsidRPr="0096294B">
        <w:rPr>
          <w:sz w:val="28"/>
          <w:szCs w:val="28"/>
          <w:lang w:val="uk-UA"/>
        </w:rPr>
        <w:t xml:space="preserve"> із виплати заробітної плати на 27 підприємствах міста в загальній сумі 91,2 млн. грн., що більше до 01.01.2016 на 21,3 млн. грн. (30,4%, або у 2,2 </w:t>
      </w:r>
      <w:proofErr w:type="spellStart"/>
      <w:r w:rsidRPr="0096294B">
        <w:rPr>
          <w:sz w:val="28"/>
          <w:szCs w:val="28"/>
          <w:lang w:val="uk-UA"/>
        </w:rPr>
        <w:t>р.б</w:t>
      </w:r>
      <w:proofErr w:type="spellEnd"/>
      <w:r w:rsidRPr="0096294B">
        <w:rPr>
          <w:sz w:val="28"/>
          <w:szCs w:val="28"/>
          <w:lang w:val="uk-UA"/>
        </w:rPr>
        <w:t xml:space="preserve">. до планового показника - 42,1 млн. грн.), в </w:t>
      </w:r>
      <w:proofErr w:type="spellStart"/>
      <w:r w:rsidRPr="0096294B">
        <w:rPr>
          <w:sz w:val="28"/>
          <w:szCs w:val="28"/>
          <w:lang w:val="uk-UA"/>
        </w:rPr>
        <w:t>т.ч</w:t>
      </w:r>
      <w:proofErr w:type="spellEnd"/>
      <w:r w:rsidRPr="0096294B">
        <w:rPr>
          <w:sz w:val="28"/>
          <w:szCs w:val="28"/>
          <w:lang w:val="uk-UA"/>
        </w:rPr>
        <w:t xml:space="preserve">.: </w:t>
      </w:r>
    </w:p>
    <w:p w:rsidR="0034705C" w:rsidRPr="0096294B" w:rsidRDefault="0034705C" w:rsidP="0034705C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96294B">
        <w:rPr>
          <w:sz w:val="28"/>
          <w:szCs w:val="28"/>
        </w:rPr>
        <w:t xml:space="preserve">- на 6 економічно активних підприємствах – 60,4 млн. грн., до початку року збільшилась на 30,4 млн. грн. (в 2,0 рази); </w:t>
      </w:r>
    </w:p>
    <w:p w:rsidR="0034705C" w:rsidRPr="0096294B" w:rsidRDefault="0034705C" w:rsidP="0034705C">
      <w:pPr>
        <w:pStyle w:val="2"/>
        <w:tabs>
          <w:tab w:val="left" w:pos="-108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96294B">
        <w:rPr>
          <w:sz w:val="28"/>
          <w:szCs w:val="28"/>
        </w:rPr>
        <w:t xml:space="preserve">- на 10 підприємствах – банкрутах – 29,6 млн. грн., що менше до </w:t>
      </w:r>
      <w:proofErr w:type="spellStart"/>
      <w:r w:rsidRPr="0096294B">
        <w:rPr>
          <w:sz w:val="28"/>
          <w:szCs w:val="28"/>
        </w:rPr>
        <w:t>до</w:t>
      </w:r>
      <w:proofErr w:type="spellEnd"/>
      <w:r w:rsidRPr="0096294B">
        <w:rPr>
          <w:sz w:val="28"/>
          <w:szCs w:val="28"/>
        </w:rPr>
        <w:t xml:space="preserve"> 01.01.2016 - на 9,3 млн. грн. (23,9%);</w:t>
      </w:r>
    </w:p>
    <w:p w:rsidR="0034705C" w:rsidRPr="0096294B" w:rsidRDefault="0034705C" w:rsidP="0034705C">
      <w:pPr>
        <w:pStyle w:val="2"/>
        <w:tabs>
          <w:tab w:val="left" w:pos="540"/>
        </w:tabs>
        <w:spacing w:after="0" w:line="240" w:lineRule="auto"/>
        <w:ind w:left="0" w:firstLine="561"/>
        <w:jc w:val="both"/>
        <w:rPr>
          <w:sz w:val="28"/>
          <w:szCs w:val="28"/>
        </w:rPr>
      </w:pPr>
      <w:r w:rsidRPr="0096294B">
        <w:rPr>
          <w:sz w:val="28"/>
          <w:szCs w:val="28"/>
        </w:rPr>
        <w:t>- на 11 економічно неактивних підприємствах – 1,2 млн. грн., що більше до 01.01.2016 на 169,5 тис. грн. (15,6%).</w:t>
      </w:r>
    </w:p>
    <w:p w:rsidR="0034705C" w:rsidRPr="0096294B" w:rsidRDefault="0034705C" w:rsidP="0034705C">
      <w:pPr>
        <w:ind w:firstLine="708"/>
        <w:jc w:val="both"/>
        <w:rPr>
          <w:sz w:val="28"/>
          <w:szCs w:val="28"/>
          <w:lang w:val="uk-UA"/>
        </w:rPr>
      </w:pPr>
      <w:r w:rsidRPr="0096294B">
        <w:rPr>
          <w:sz w:val="28"/>
          <w:szCs w:val="28"/>
          <w:lang w:val="uk-UA"/>
        </w:rPr>
        <w:t xml:space="preserve">На 13 засіданнях міської комісії з питань забезпечення </w:t>
      </w:r>
      <w:r w:rsidRPr="0096294B">
        <w:rPr>
          <w:bCs/>
          <w:sz w:val="28"/>
          <w:szCs w:val="28"/>
          <w:lang w:val="uk-UA"/>
        </w:rPr>
        <w:t>погашення заборгованості із заробітної плати (грошового забезпечення),</w:t>
      </w:r>
      <w:r w:rsidRPr="0096294B">
        <w:rPr>
          <w:sz w:val="28"/>
          <w:szCs w:val="28"/>
          <w:lang w:val="uk-UA"/>
        </w:rPr>
        <w:t xml:space="preserve"> пенсій, стипендій та інших соціальних виплат, відновлення платоспроможності підприємств, забезпечення реалізації державної політики зайнятості населення, створення робочих місць та легалізації  проаналізовано ситуацію, що склалась на 29 підприємствах, які мали 89,3</w:t>
      </w:r>
      <w:r w:rsidRPr="0096294B">
        <w:rPr>
          <w:b/>
          <w:sz w:val="28"/>
          <w:szCs w:val="28"/>
          <w:lang w:val="uk-UA"/>
        </w:rPr>
        <w:t xml:space="preserve"> </w:t>
      </w:r>
      <w:r w:rsidRPr="0096294B">
        <w:rPr>
          <w:sz w:val="28"/>
          <w:szCs w:val="28"/>
          <w:lang w:val="uk-UA"/>
        </w:rPr>
        <w:t xml:space="preserve">млн. грн. боргів по заробітній платі, заслухано представників 19 підприємств. </w:t>
      </w:r>
      <w:r w:rsidRPr="0096294B">
        <w:rPr>
          <w:bCs/>
          <w:sz w:val="28"/>
          <w:szCs w:val="28"/>
          <w:lang w:val="uk-UA"/>
        </w:rPr>
        <w:t>Як наслідок, п</w:t>
      </w:r>
      <w:r w:rsidRPr="0096294B">
        <w:rPr>
          <w:sz w:val="28"/>
          <w:szCs w:val="28"/>
          <w:lang w:val="uk-UA"/>
        </w:rPr>
        <w:t xml:space="preserve">огашено борги на 13 підприємствах в загальній сумі 2,4 млн. грн.,  15 підприємствами сплачено 9,7 млн. грн. єдиного соціального внеску та  66,6 млн. грн. податку з доходів фізичних осіб. </w:t>
      </w:r>
    </w:p>
    <w:p w:rsidR="0034705C" w:rsidRPr="0096294B" w:rsidRDefault="0034705C" w:rsidP="0034705C">
      <w:pPr>
        <w:ind w:firstLine="708"/>
        <w:jc w:val="both"/>
        <w:rPr>
          <w:sz w:val="28"/>
          <w:szCs w:val="28"/>
          <w:lang w:val="uk-UA"/>
        </w:rPr>
      </w:pPr>
      <w:r w:rsidRPr="0096294B">
        <w:rPr>
          <w:sz w:val="28"/>
          <w:szCs w:val="28"/>
          <w:lang w:val="uk-UA"/>
        </w:rPr>
        <w:t xml:space="preserve">Послугами центру </w:t>
      </w:r>
      <w:r w:rsidRPr="0096294B">
        <w:rPr>
          <w:b/>
          <w:sz w:val="28"/>
          <w:szCs w:val="28"/>
          <w:lang w:val="uk-UA"/>
        </w:rPr>
        <w:t xml:space="preserve">зайнятості </w:t>
      </w:r>
      <w:r w:rsidRPr="0096294B">
        <w:rPr>
          <w:sz w:val="28"/>
          <w:szCs w:val="28"/>
          <w:lang w:val="uk-UA"/>
        </w:rPr>
        <w:t>користувалось 10,9 тис. осіб (що майже на 9,9% менше порівняно з 2015 роком) при річному програмному показнику 9,5 тис. осіб. Навчання з підготовки, перепідготовки та підвищення кваліфікації пройшли  257 осіб (річні програмні показники виконані на 25,7% (1,0 тис. осіб). Направлено  на виконання громадських робіт та інших робіт тимчасового характеру  1157 осіб (річні програмні показники перевиконані на 21,8%). З міського бюджету на вказану ціль було виділено  0,5 млн. гривень.</w:t>
      </w:r>
    </w:p>
    <w:p w:rsidR="0034705C" w:rsidRPr="0096294B" w:rsidRDefault="0034705C" w:rsidP="0034705C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96294B">
        <w:rPr>
          <w:sz w:val="28"/>
          <w:szCs w:val="28"/>
        </w:rPr>
        <w:t>На кінець 2016 року кількість зареєстрованих безробітних на обліку становила 2190 осіб, що менше на 35,6% ніж на кінець дати 2015 року (3400), при річному плановому показнику – 3100.</w:t>
      </w:r>
    </w:p>
    <w:p w:rsidR="0034705C" w:rsidRPr="0096294B" w:rsidRDefault="0034705C" w:rsidP="0034705C">
      <w:pPr>
        <w:ind w:firstLine="708"/>
        <w:jc w:val="both"/>
        <w:rPr>
          <w:sz w:val="28"/>
          <w:szCs w:val="28"/>
          <w:lang w:val="uk-UA"/>
        </w:rPr>
      </w:pPr>
      <w:r w:rsidRPr="0096294B">
        <w:rPr>
          <w:rFonts w:eastAsia="SimSun"/>
          <w:sz w:val="28"/>
          <w:szCs w:val="28"/>
          <w:lang w:val="uk-UA" w:eastAsia="uk-UA"/>
        </w:rPr>
        <w:t>Протягом 2016 року зареєстровано 1558 фізичних осіб як суб’єктів підприємницької діяльності;</w:t>
      </w:r>
      <w:r w:rsidRPr="0096294B">
        <w:rPr>
          <w:sz w:val="28"/>
          <w:szCs w:val="28"/>
          <w:lang w:val="uk-UA"/>
        </w:rPr>
        <w:t xml:space="preserve"> створено 2762 робочих місць для найманих працівників у юридичних осіб.</w:t>
      </w:r>
    </w:p>
    <w:p w:rsidR="0034705C" w:rsidRPr="0096294B" w:rsidRDefault="0034705C" w:rsidP="0034705C">
      <w:pPr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96294B">
        <w:rPr>
          <w:sz w:val="28"/>
          <w:szCs w:val="28"/>
          <w:lang w:val="uk-UA"/>
        </w:rPr>
        <w:t xml:space="preserve"> В гуманітарній та соціальній сферах продовжувалась робота по наданню своєчасних та якісних послуг, а також виконувались державні програми в частині надання усіх видів </w:t>
      </w:r>
      <w:r w:rsidRPr="0096294B">
        <w:rPr>
          <w:b/>
          <w:sz w:val="28"/>
          <w:szCs w:val="28"/>
          <w:lang w:val="uk-UA"/>
        </w:rPr>
        <w:t>соціальних допомог, пільг та субсидій населенню міста.</w:t>
      </w:r>
      <w:r w:rsidRPr="0096294B">
        <w:rPr>
          <w:sz w:val="28"/>
          <w:szCs w:val="28"/>
          <w:lang w:val="uk-UA"/>
        </w:rPr>
        <w:t xml:space="preserve"> </w:t>
      </w:r>
    </w:p>
    <w:p w:rsidR="0034705C" w:rsidRPr="0096294B" w:rsidRDefault="0034705C" w:rsidP="0034705C">
      <w:pPr>
        <w:rPr>
          <w:sz w:val="28"/>
          <w:szCs w:val="28"/>
          <w:lang w:val="uk-UA"/>
        </w:rPr>
      </w:pPr>
    </w:p>
    <w:p w:rsidR="0034705C" w:rsidRPr="004B0070" w:rsidRDefault="0034705C" w:rsidP="0034705C">
      <w:pPr>
        <w:widowControl w:val="0"/>
        <w:tabs>
          <w:tab w:val="left" w:pos="8447"/>
        </w:tabs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r w:rsidRPr="004B0070">
        <w:rPr>
          <w:i/>
          <w:sz w:val="28"/>
          <w:szCs w:val="28"/>
          <w:lang w:val="uk-UA"/>
        </w:rPr>
        <w:t>З повним текстом інформації можна ознайомитись у рішенні від 22 лютого 2017 року № 1774-МР «</w:t>
      </w:r>
      <w:r w:rsidRPr="004B0070">
        <w:rPr>
          <w:bCs/>
          <w:i/>
          <w:sz w:val="28"/>
          <w:szCs w:val="28"/>
          <w:lang w:val="uk-UA"/>
        </w:rPr>
        <w:t xml:space="preserve">Про стан виконання Програми економічного і </w:t>
      </w:r>
      <w:r w:rsidRPr="004B0070">
        <w:rPr>
          <w:bCs/>
          <w:i/>
          <w:sz w:val="28"/>
          <w:szCs w:val="28"/>
          <w:lang w:val="uk-UA"/>
        </w:rPr>
        <w:lastRenderedPageBreak/>
        <w:t xml:space="preserve">соціального розвитку міста Суми на 2016 рік, затвердженої рішенням Сумської міської ради </w:t>
      </w:r>
      <w:r w:rsidRPr="004B0070">
        <w:rPr>
          <w:i/>
          <w:sz w:val="28"/>
          <w:szCs w:val="28"/>
          <w:lang w:val="uk-UA"/>
        </w:rPr>
        <w:t>від 24 грудня 2015 року № 144–МР</w:t>
      </w:r>
      <w:r w:rsidRPr="004B0070">
        <w:rPr>
          <w:bCs/>
          <w:i/>
          <w:sz w:val="28"/>
          <w:szCs w:val="28"/>
          <w:lang w:val="uk-UA"/>
        </w:rPr>
        <w:t xml:space="preserve"> </w:t>
      </w:r>
      <w:r w:rsidRPr="004B0070">
        <w:rPr>
          <w:i/>
          <w:sz w:val="28"/>
          <w:szCs w:val="28"/>
          <w:lang w:val="uk-UA"/>
        </w:rPr>
        <w:t xml:space="preserve">(зі змінами), </w:t>
      </w:r>
      <w:r w:rsidRPr="004B0070">
        <w:rPr>
          <w:bCs/>
          <w:i/>
          <w:sz w:val="28"/>
          <w:szCs w:val="28"/>
          <w:lang w:val="uk-UA"/>
        </w:rPr>
        <w:t>за підсумками 2016 року»</w:t>
      </w:r>
      <w:r>
        <w:rPr>
          <w:bCs/>
          <w:i/>
          <w:sz w:val="28"/>
          <w:szCs w:val="28"/>
          <w:lang w:val="uk-UA"/>
        </w:rPr>
        <w:t xml:space="preserve"> (додається).</w:t>
      </w:r>
    </w:p>
    <w:p w:rsidR="007A2D84" w:rsidRPr="0034705C" w:rsidRDefault="007A2D84">
      <w:pPr>
        <w:rPr>
          <w:lang w:val="uk-UA"/>
        </w:rPr>
      </w:pPr>
    </w:p>
    <w:sectPr w:rsidR="007A2D84" w:rsidRPr="0034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5C"/>
    <w:rsid w:val="0034705C"/>
    <w:rsid w:val="007A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852B"/>
  <w15:chartTrackingRefBased/>
  <w15:docId w15:val="{2D655784-32C2-4B59-AF2D-7DF9E6E3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05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4705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5">
    <w:name w:val=" Знак Знак Знак Знак Знак Знак Знак"/>
    <w:basedOn w:val="a"/>
    <w:rsid w:val="0034705C"/>
    <w:rPr>
      <w:rFonts w:ascii="Bookshelf Symbol 7" w:hAnsi="Bookshelf Symbol 7" w:cs="Bookshelf Symbol 7"/>
      <w:sz w:val="20"/>
      <w:szCs w:val="20"/>
      <w:lang w:val="en-US" w:eastAsia="en-US"/>
    </w:rPr>
  </w:style>
  <w:style w:type="paragraph" w:styleId="a6">
    <w:name w:val="Normal (Web)"/>
    <w:basedOn w:val="a"/>
    <w:rsid w:val="0034705C"/>
    <w:pPr>
      <w:spacing w:before="75" w:after="75"/>
    </w:pPr>
    <w:rPr>
      <w:lang w:val="uk-UA"/>
    </w:rPr>
  </w:style>
  <w:style w:type="paragraph" w:styleId="2">
    <w:name w:val="Body Text Indent 2"/>
    <w:basedOn w:val="a"/>
    <w:link w:val="20"/>
    <w:rsid w:val="0034705C"/>
    <w:pPr>
      <w:spacing w:after="120" w:line="480" w:lineRule="auto"/>
      <w:ind w:left="283"/>
    </w:pPr>
    <w:rPr>
      <w:rFonts w:eastAsia="SimSun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34705C"/>
    <w:rPr>
      <w:rFonts w:ascii="Times New Roman" w:eastAsia="SimSu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2017-02-24T14:16:00Z</dcterms:created>
  <dcterms:modified xsi:type="dcterms:W3CDTF">2017-02-24T14:17:00Z</dcterms:modified>
</cp:coreProperties>
</file>